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9998" w14:textId="00D2F983" w:rsidR="00CB5B07" w:rsidRPr="00973029" w:rsidRDefault="00CB5B07" w:rsidP="003F3D9A">
      <w:pPr>
        <w:spacing w:after="0" w:line="276" w:lineRule="auto"/>
        <w:jc w:val="center"/>
        <w:rPr>
          <w:rFonts w:ascii="Times New Roman" w:hAnsi="Times New Roman" w:cs="Times New Roman"/>
          <w:b/>
          <w:bCs/>
          <w:sz w:val="24"/>
          <w:szCs w:val="24"/>
          <w:lang w:val="ro-RO"/>
        </w:rPr>
      </w:pPr>
      <w:r w:rsidRPr="00973029">
        <w:rPr>
          <w:rFonts w:ascii="Times New Roman" w:hAnsi="Times New Roman" w:cs="Times New Roman"/>
          <w:b/>
          <w:bCs/>
          <w:sz w:val="24"/>
          <w:szCs w:val="24"/>
          <w:lang w:val="ro-RO"/>
        </w:rPr>
        <w:t>GUVERNUL ROMÂNIEI</w:t>
      </w:r>
    </w:p>
    <w:p w14:paraId="2F347F6E" w14:textId="77777777" w:rsidR="00CB5B07" w:rsidRPr="00973029" w:rsidRDefault="00CB5B07" w:rsidP="003F3D9A">
      <w:pPr>
        <w:spacing w:after="0" w:line="276" w:lineRule="auto"/>
        <w:rPr>
          <w:rFonts w:ascii="Times New Roman" w:hAnsi="Times New Roman" w:cs="Times New Roman"/>
          <w:b/>
          <w:bCs/>
          <w:sz w:val="24"/>
          <w:szCs w:val="24"/>
          <w:lang w:val="ro-RO"/>
        </w:rPr>
      </w:pPr>
    </w:p>
    <w:p w14:paraId="4A84F194" w14:textId="77777777" w:rsidR="00CB5B07" w:rsidRPr="00973029" w:rsidRDefault="00CB5B07" w:rsidP="003F3D9A">
      <w:pPr>
        <w:spacing w:after="0" w:line="276" w:lineRule="auto"/>
        <w:jc w:val="center"/>
        <w:rPr>
          <w:rFonts w:ascii="Times New Roman" w:hAnsi="Times New Roman" w:cs="Times New Roman"/>
          <w:b/>
          <w:bCs/>
          <w:sz w:val="24"/>
          <w:szCs w:val="24"/>
          <w:lang w:val="ro-RO"/>
        </w:rPr>
      </w:pPr>
    </w:p>
    <w:p w14:paraId="779AF27A" w14:textId="02589D82" w:rsidR="00CB5B07" w:rsidRPr="00973029" w:rsidRDefault="00CB5B07" w:rsidP="003F3D9A">
      <w:pPr>
        <w:spacing w:after="0" w:line="276" w:lineRule="auto"/>
        <w:jc w:val="center"/>
        <w:rPr>
          <w:rFonts w:ascii="Times New Roman" w:hAnsi="Times New Roman" w:cs="Times New Roman"/>
          <w:b/>
          <w:bCs/>
          <w:sz w:val="24"/>
          <w:szCs w:val="24"/>
          <w:lang w:val="ro-RO"/>
        </w:rPr>
      </w:pPr>
      <w:r w:rsidRPr="00973029">
        <w:rPr>
          <w:rStyle w:val="do1"/>
          <w:noProof/>
          <w:sz w:val="24"/>
          <w:szCs w:val="24"/>
          <w:lang w:val="ro-RO" w:eastAsia="ro-RO"/>
        </w:rPr>
        <w:drawing>
          <wp:inline distT="0" distB="0" distL="0" distR="0" wp14:anchorId="1C9F36BB" wp14:editId="230367C0">
            <wp:extent cx="695328" cy="981078"/>
            <wp:effectExtent l="0" t="0" r="9522" b="9522"/>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95328" cy="981078"/>
                    </a:xfrm>
                    <a:prstGeom prst="rect">
                      <a:avLst/>
                    </a:prstGeom>
                    <a:noFill/>
                    <a:ln>
                      <a:noFill/>
                      <a:prstDash/>
                    </a:ln>
                  </pic:spPr>
                </pic:pic>
              </a:graphicData>
            </a:graphic>
          </wp:inline>
        </w:drawing>
      </w:r>
    </w:p>
    <w:p w14:paraId="28B134A9" w14:textId="77777777" w:rsidR="00CB5B07" w:rsidRPr="00973029" w:rsidRDefault="00CB5B07" w:rsidP="003F3D9A">
      <w:pPr>
        <w:spacing w:after="0" w:line="276" w:lineRule="auto"/>
        <w:rPr>
          <w:rFonts w:ascii="Times New Roman" w:eastAsia="Times New Roman" w:hAnsi="Times New Roman" w:cs="Times New Roman"/>
          <w:b/>
          <w:bCs/>
          <w:kern w:val="0"/>
          <w:sz w:val="24"/>
          <w:szCs w:val="24"/>
          <w:bdr w:val="none" w:sz="0" w:space="0" w:color="auto" w:frame="1"/>
          <w:shd w:val="clear" w:color="auto" w:fill="FFFFFF"/>
          <w:lang w:val="ro-RO"/>
          <w14:ligatures w14:val="none"/>
        </w:rPr>
      </w:pPr>
    </w:p>
    <w:p w14:paraId="78114857" w14:textId="21E2C206" w:rsidR="004C2909" w:rsidRPr="00973029" w:rsidRDefault="002A2D18" w:rsidP="003F3D9A">
      <w:pPr>
        <w:spacing w:after="0" w:line="276" w:lineRule="auto"/>
        <w:jc w:val="center"/>
        <w:rPr>
          <w:rFonts w:ascii="Times New Roman" w:eastAsia="Times New Roman" w:hAnsi="Times New Roman" w:cs="Times New Roman"/>
          <w:b/>
          <w:bCs/>
          <w:kern w:val="0"/>
          <w:sz w:val="24"/>
          <w:szCs w:val="24"/>
          <w:bdr w:val="none" w:sz="0" w:space="0" w:color="auto" w:frame="1"/>
          <w:shd w:val="clear" w:color="auto" w:fill="FFFFFF"/>
          <w:lang w:val="ro-RO"/>
          <w14:ligatures w14:val="none"/>
        </w:rPr>
      </w:pPr>
      <w:bookmarkStart w:id="0" w:name="_Hlk155699318"/>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ORDONANȚĂ </w:t>
      </w:r>
      <w:r w:rsidR="004E1637"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DE URGENȚĂ </w:t>
      </w:r>
    </w:p>
    <w:p w14:paraId="2AA1B33C" w14:textId="75388B83" w:rsidR="002A2D18" w:rsidRPr="00973029" w:rsidRDefault="00195A4A" w:rsidP="003F3D9A">
      <w:pPr>
        <w:spacing w:after="0" w:line="276" w:lineRule="auto"/>
        <w:jc w:val="center"/>
        <w:rPr>
          <w:rFonts w:ascii="Times New Roman" w:hAnsi="Times New Roman" w:cs="Times New Roman"/>
          <w:b/>
          <w:bCs/>
          <w:sz w:val="24"/>
          <w:szCs w:val="24"/>
          <w:lang w:val="ro-RO"/>
        </w:rPr>
      </w:pPr>
      <w:r w:rsidRPr="00973029">
        <w:rPr>
          <w:rFonts w:ascii="Times New Roman" w:hAnsi="Times New Roman" w:cs="Times New Roman"/>
          <w:b/>
          <w:bCs/>
          <w:sz w:val="24"/>
          <w:szCs w:val="24"/>
          <w:lang w:val="ro-RO"/>
        </w:rPr>
        <w:t xml:space="preserve">pentru </w:t>
      </w:r>
      <w:r w:rsidR="008A7DE7" w:rsidRPr="00973029">
        <w:rPr>
          <w:rFonts w:ascii="Times New Roman" w:hAnsi="Times New Roman" w:cs="Times New Roman"/>
          <w:b/>
          <w:bCs/>
          <w:sz w:val="24"/>
          <w:szCs w:val="24"/>
          <w:lang w:val="ro-RO"/>
        </w:rPr>
        <w:t>instituirea unor măsuri</w:t>
      </w:r>
      <w:r w:rsidR="008A7DE7" w:rsidRPr="00973029">
        <w:rPr>
          <w:lang w:val="ro-RO"/>
        </w:rPr>
        <w:t xml:space="preserve"> </w:t>
      </w:r>
      <w:r w:rsidR="008A7DE7" w:rsidRPr="00973029">
        <w:rPr>
          <w:rFonts w:ascii="Times New Roman" w:hAnsi="Times New Roman" w:cs="Times New Roman"/>
          <w:b/>
          <w:bCs/>
          <w:sz w:val="24"/>
          <w:szCs w:val="24"/>
          <w:lang w:val="ro-RO"/>
        </w:rPr>
        <w:t xml:space="preserve">în domeniul gestionării </w:t>
      </w:r>
      <w:r w:rsidR="00AC0491" w:rsidRPr="00973029">
        <w:rPr>
          <w:rFonts w:ascii="Times New Roman" w:hAnsi="Times New Roman" w:cs="Times New Roman"/>
          <w:b/>
          <w:bCs/>
          <w:sz w:val="24"/>
          <w:szCs w:val="24"/>
          <w:lang w:val="ro-RO"/>
        </w:rPr>
        <w:t>investiții</w:t>
      </w:r>
      <w:r w:rsidR="00B5270F" w:rsidRPr="00973029">
        <w:rPr>
          <w:rFonts w:ascii="Times New Roman" w:hAnsi="Times New Roman" w:cs="Times New Roman"/>
          <w:b/>
          <w:bCs/>
          <w:sz w:val="24"/>
          <w:szCs w:val="24"/>
          <w:lang w:val="ro-RO"/>
        </w:rPr>
        <w:t>lor</w:t>
      </w:r>
      <w:r w:rsidR="008A7DE7" w:rsidRPr="00973029">
        <w:rPr>
          <w:rFonts w:ascii="Times New Roman" w:hAnsi="Times New Roman" w:cs="Times New Roman"/>
          <w:b/>
          <w:bCs/>
          <w:sz w:val="24"/>
          <w:szCs w:val="24"/>
          <w:lang w:val="ro-RO"/>
        </w:rPr>
        <w:t xml:space="preserve"> </w:t>
      </w:r>
      <w:r w:rsidR="00B5270F" w:rsidRPr="00973029">
        <w:rPr>
          <w:rFonts w:ascii="Times New Roman" w:hAnsi="Times New Roman" w:cs="Times New Roman"/>
          <w:b/>
          <w:bCs/>
          <w:sz w:val="24"/>
          <w:szCs w:val="24"/>
          <w:lang w:val="ro-RO"/>
        </w:rPr>
        <w:t>finanțate din Planul naţional de redresare şi rezilienţă și din fonduri publice naționale</w:t>
      </w:r>
    </w:p>
    <w:p w14:paraId="7B59118D" w14:textId="77777777" w:rsidR="00D55B4F" w:rsidRPr="00973029" w:rsidRDefault="00D55B4F" w:rsidP="003F3D9A">
      <w:pPr>
        <w:spacing w:after="0" w:line="276" w:lineRule="auto"/>
        <w:jc w:val="center"/>
        <w:rPr>
          <w:rFonts w:ascii="Times New Roman" w:eastAsia="Times New Roman" w:hAnsi="Times New Roman" w:cs="Times New Roman"/>
          <w:kern w:val="0"/>
          <w:sz w:val="24"/>
          <w:szCs w:val="24"/>
          <w:lang w:val="ro-RO"/>
          <w14:ligatures w14:val="none"/>
        </w:rPr>
      </w:pPr>
    </w:p>
    <w:tbl>
      <w:tblPr>
        <w:tblW w:w="10082" w:type="dxa"/>
        <w:tblInd w:w="144" w:type="dxa"/>
        <w:shd w:val="clear" w:color="auto" w:fill="FFFFFF"/>
        <w:tblCellMar>
          <w:left w:w="0" w:type="dxa"/>
          <w:right w:w="0" w:type="dxa"/>
        </w:tblCellMar>
        <w:tblLook w:val="04A0" w:firstRow="1" w:lastRow="0" w:firstColumn="1" w:lastColumn="0" w:noHBand="0" w:noVBand="1"/>
      </w:tblPr>
      <w:tblGrid>
        <w:gridCol w:w="10062"/>
        <w:gridCol w:w="20"/>
      </w:tblGrid>
      <w:tr w:rsidR="00A87768" w:rsidRPr="00973029" w14:paraId="3BAC0A67" w14:textId="77777777" w:rsidTr="009F5AE2">
        <w:tc>
          <w:tcPr>
            <w:tcW w:w="10062" w:type="dxa"/>
            <w:tcBorders>
              <w:top w:val="nil"/>
              <w:left w:val="nil"/>
              <w:bottom w:val="nil"/>
              <w:right w:val="nil"/>
            </w:tcBorders>
            <w:shd w:val="clear" w:color="auto" w:fill="FFFFFF"/>
            <w:vAlign w:val="bottom"/>
          </w:tcPr>
          <w:bookmarkEnd w:id="0"/>
          <w:p w14:paraId="208D1FA4" w14:textId="77777777" w:rsidR="000D34C7" w:rsidRPr="00973029" w:rsidRDefault="000D34C7" w:rsidP="003F3D9A">
            <w:pPr>
              <w:pStyle w:val="Default"/>
              <w:tabs>
                <w:tab w:val="left" w:pos="9064"/>
              </w:tabs>
              <w:spacing w:line="276" w:lineRule="auto"/>
              <w:ind w:right="986" w:firstLine="720"/>
              <w:jc w:val="both"/>
              <w:rPr>
                <w:rStyle w:val="spar"/>
                <w:rFonts w:ascii="Times New Roman" w:hAnsi="Times New Roman" w:cs="Times New Roman"/>
                <w:color w:val="auto"/>
              </w:rPr>
            </w:pPr>
            <w:r w:rsidRPr="00973029">
              <w:rPr>
                <w:rStyle w:val="spar"/>
                <w:rFonts w:ascii="Times New Roman" w:hAnsi="Times New Roman" w:cs="Times New Roman"/>
                <w:color w:val="auto"/>
              </w:rPr>
              <w:t>Având în vedere prevederile Regulamentului (UE) 2021/241 al Parlamentului European şi al Consiliului din 12 februarie 2021 de instituire a Mecanismului de redresare şi rezilienţă, cu modificările și completările ulterioare,</w:t>
            </w:r>
          </w:p>
          <w:p w14:paraId="6103A8C6" w14:textId="5A509CF1" w:rsidR="000D34C7" w:rsidRPr="00973029" w:rsidRDefault="0016246F" w:rsidP="003F3D9A">
            <w:pPr>
              <w:pStyle w:val="Default"/>
              <w:tabs>
                <w:tab w:val="left" w:pos="9064"/>
              </w:tabs>
              <w:spacing w:line="276" w:lineRule="auto"/>
              <w:ind w:right="986" w:firstLine="720"/>
              <w:jc w:val="both"/>
              <w:rPr>
                <w:rStyle w:val="spar"/>
                <w:rFonts w:ascii="Times New Roman" w:hAnsi="Times New Roman" w:cs="Times New Roman"/>
                <w:color w:val="auto"/>
              </w:rPr>
            </w:pPr>
            <w:r w:rsidRPr="00973029">
              <w:rPr>
                <w:rStyle w:val="spar"/>
                <w:rFonts w:ascii="Times New Roman" w:hAnsi="Times New Roman" w:cs="Times New Roman"/>
                <w:color w:val="auto"/>
              </w:rPr>
              <w:t>Ț</w:t>
            </w:r>
            <w:r w:rsidR="000D34C7" w:rsidRPr="00973029">
              <w:rPr>
                <w:rStyle w:val="spar"/>
                <w:rFonts w:ascii="Times New Roman" w:hAnsi="Times New Roman" w:cs="Times New Roman"/>
                <w:color w:val="auto"/>
              </w:rPr>
              <w:t>inând cont de Decizia de punere în aplicare a Consiliului din 5 decembrie 2023 de modificare a Deciziei de punere în aplicare din 29 octombrie 2021 de aprobare a evaluării planului de redresare şi rezilienţă al României,</w:t>
            </w:r>
          </w:p>
          <w:p w14:paraId="646E97BB" w14:textId="15A64FB8" w:rsidR="000D34C7" w:rsidRPr="00973029" w:rsidRDefault="0016246F" w:rsidP="003F3D9A">
            <w:pPr>
              <w:pStyle w:val="Default"/>
              <w:tabs>
                <w:tab w:val="left" w:pos="9064"/>
              </w:tabs>
              <w:spacing w:line="276" w:lineRule="auto"/>
              <w:ind w:right="986" w:firstLine="720"/>
              <w:jc w:val="both"/>
              <w:rPr>
                <w:rStyle w:val="spar"/>
                <w:rFonts w:ascii="Times New Roman" w:hAnsi="Times New Roman" w:cs="Times New Roman"/>
                <w:color w:val="auto"/>
              </w:rPr>
            </w:pPr>
            <w:r w:rsidRPr="00973029">
              <w:rPr>
                <w:rStyle w:val="spar"/>
                <w:rFonts w:ascii="Times New Roman" w:hAnsi="Times New Roman" w:cs="Times New Roman"/>
                <w:color w:val="auto"/>
              </w:rPr>
              <w:t>A</w:t>
            </w:r>
            <w:r w:rsidR="000D34C7" w:rsidRPr="00973029">
              <w:rPr>
                <w:rStyle w:val="spar"/>
                <w:rFonts w:ascii="Times New Roman" w:hAnsi="Times New Roman" w:cs="Times New Roman"/>
                <w:color w:val="auto"/>
              </w:rPr>
              <w:t>vând în vedere că Planul naţional de redresare şi rezilienţă este supus unor reguli de evaluare de către Comisia Europeană care includ: concordanţa planului naţional cu recomandările specifice de ţară din cadrul Semestrului european, contribuţia măsurilor, respectiv a intervenţiilor la tranziţia verde şi digitală, impactul economic şi social asupra statului membru, potenţialul de creştere economică şi crearea de locuri de muncă, rezonabilitatea costurilor şi a bugetului, guvernanţa internă a planului naţional, iar ulterior planul naţional este implementat prin intermediul proiectelor, proces care presupune elaborarea în paralel a documentaţiilor tehnico-economice necesare implementării acestora,</w:t>
            </w:r>
          </w:p>
          <w:p w14:paraId="30B17B12" w14:textId="0286E04A" w:rsidR="000D34C7" w:rsidRPr="00973029" w:rsidRDefault="0016246F" w:rsidP="003F3D9A">
            <w:pPr>
              <w:tabs>
                <w:tab w:val="left" w:pos="9064"/>
              </w:tabs>
              <w:spacing w:after="0" w:line="276" w:lineRule="auto"/>
              <w:ind w:right="986" w:firstLine="720"/>
              <w:jc w:val="both"/>
              <w:rPr>
                <w:rStyle w:val="spar"/>
                <w:rFonts w:ascii="Times New Roman" w:hAnsi="Times New Roman" w:cs="Times New Roman"/>
                <w:sz w:val="24"/>
                <w:szCs w:val="24"/>
                <w:lang w:val="ro-RO"/>
              </w:rPr>
            </w:pPr>
            <w:r w:rsidRPr="00973029">
              <w:rPr>
                <w:rStyle w:val="spar"/>
                <w:rFonts w:ascii="Times New Roman" w:hAnsi="Times New Roman" w:cs="Times New Roman"/>
                <w:sz w:val="24"/>
                <w:szCs w:val="24"/>
                <w:lang w:val="ro-RO"/>
              </w:rPr>
              <w:t>L</w:t>
            </w:r>
            <w:r w:rsidR="000D34C7" w:rsidRPr="00973029">
              <w:rPr>
                <w:rStyle w:val="spar"/>
                <w:rFonts w:ascii="Times New Roman" w:hAnsi="Times New Roman" w:cs="Times New Roman"/>
                <w:sz w:val="24"/>
                <w:szCs w:val="24"/>
                <w:lang w:val="ro-RO"/>
              </w:rPr>
              <w:t>uând în considerare orizontul de timp determinat, respectiv 31 august 2026, dată până la care a fost asumată îndeplinirea a 5</w:t>
            </w:r>
            <w:r w:rsidR="004D7E3F" w:rsidRPr="00973029">
              <w:rPr>
                <w:rStyle w:val="spar"/>
                <w:rFonts w:ascii="Times New Roman" w:hAnsi="Times New Roman" w:cs="Times New Roman"/>
                <w:sz w:val="24"/>
                <w:szCs w:val="24"/>
                <w:lang w:val="ro-RO"/>
              </w:rPr>
              <w:t>18</w:t>
            </w:r>
            <w:r w:rsidR="000D34C7" w:rsidRPr="00973029">
              <w:rPr>
                <w:rStyle w:val="spar"/>
                <w:rFonts w:ascii="Times New Roman" w:hAnsi="Times New Roman" w:cs="Times New Roman"/>
                <w:sz w:val="24"/>
                <w:szCs w:val="24"/>
                <w:lang w:val="ro-RO"/>
              </w:rPr>
              <w:t xml:space="preserve"> jaloane şi ţinte asociate investiţiilor-cheie şi reformelor majore aferente celor şase piloni principali stabiliţi prin Regulamentul (UE) 2021/241, cu modificările și completările ulterioare,</w:t>
            </w:r>
          </w:p>
          <w:p w14:paraId="560F59D7" w14:textId="14FFB438" w:rsidR="009F5AE2" w:rsidRPr="00973029" w:rsidRDefault="009F5AE2" w:rsidP="003F3D9A">
            <w:pPr>
              <w:tabs>
                <w:tab w:val="left" w:pos="9064"/>
              </w:tabs>
              <w:spacing w:after="0" w:line="276" w:lineRule="auto"/>
              <w:ind w:right="986" w:firstLine="720"/>
              <w:jc w:val="both"/>
              <w:rPr>
                <w:rStyle w:val="spar"/>
                <w:rFonts w:ascii="Times New Roman" w:hAnsi="Times New Roman" w:cs="Times New Roman"/>
                <w:sz w:val="24"/>
                <w:szCs w:val="24"/>
                <w:lang w:val="ro-RO"/>
              </w:rPr>
            </w:pPr>
            <w:r w:rsidRPr="00973029">
              <w:rPr>
                <w:rStyle w:val="spar"/>
                <w:rFonts w:ascii="Times New Roman" w:hAnsi="Times New Roman" w:cs="Times New Roman"/>
                <w:sz w:val="24"/>
                <w:szCs w:val="24"/>
                <w:lang w:val="ro-RO"/>
              </w:rPr>
              <w:t xml:space="preserve">Luând în considerare nevoile financiare ridicate pe care le presupune implementarea în România a reformelor majore având ca scop dezvoltarea unei economii solide, sustenabile şi reziliente, precum şi a unui sistem financiar şi de protecţie socială bazat pe structuri sociale şi economice puternice, care să stimuleze sectorul investiţiilor grav afectat de pandemia de COVID-19, fiind necesară stabilirea cadrului instituţional şi financiar de gestionare a fondurilor europene în cadrul Mecanismului de redresare şi rezilienţă, pentru perioada 2021-2026, precum şi asigurarea unui management financiar eficient al fondurilor şi al capacităţii de absorbţie, </w:t>
            </w:r>
          </w:p>
          <w:p w14:paraId="3088C14A" w14:textId="5A22A9D5" w:rsidR="000D34C7" w:rsidRPr="00973029" w:rsidRDefault="000D34C7" w:rsidP="003F3D9A">
            <w:pPr>
              <w:spacing w:after="0" w:line="276" w:lineRule="auto"/>
              <w:ind w:right="986"/>
              <w:jc w:val="both"/>
              <w:rPr>
                <w:rStyle w:val="spar"/>
                <w:rFonts w:ascii="Times New Roman" w:hAnsi="Times New Roman" w:cs="Times New Roman"/>
                <w:sz w:val="24"/>
                <w:szCs w:val="24"/>
                <w:lang w:val="ro-RO"/>
              </w:rPr>
            </w:pPr>
            <w:r w:rsidRPr="00973029">
              <w:rPr>
                <w:rStyle w:val="spar"/>
                <w:rFonts w:ascii="Times New Roman" w:hAnsi="Times New Roman" w:cs="Times New Roman"/>
                <w:sz w:val="24"/>
                <w:szCs w:val="24"/>
                <w:lang w:val="ro-RO"/>
              </w:rPr>
              <w:t xml:space="preserve">            </w:t>
            </w:r>
            <w:r w:rsidR="0016246F" w:rsidRPr="00973029">
              <w:rPr>
                <w:rStyle w:val="spar"/>
                <w:rFonts w:ascii="Times New Roman" w:hAnsi="Times New Roman" w:cs="Times New Roman"/>
                <w:sz w:val="24"/>
                <w:szCs w:val="24"/>
                <w:lang w:val="ro-RO"/>
              </w:rPr>
              <w:t>Ț</w:t>
            </w:r>
            <w:r w:rsidR="009F5AE2" w:rsidRPr="00973029">
              <w:rPr>
                <w:rStyle w:val="spar"/>
                <w:rFonts w:ascii="Times New Roman" w:hAnsi="Times New Roman" w:cs="Times New Roman"/>
                <w:sz w:val="24"/>
                <w:szCs w:val="24"/>
                <w:lang w:val="ro-RO"/>
              </w:rPr>
              <w:t xml:space="preserve">inând cont de faptul că România se află în proces de renegociere al Planului național de </w:t>
            </w:r>
            <w:r w:rsidRPr="00973029">
              <w:rPr>
                <w:rStyle w:val="spar"/>
                <w:rFonts w:ascii="Times New Roman" w:hAnsi="Times New Roman" w:cs="Times New Roman"/>
                <w:sz w:val="24"/>
                <w:szCs w:val="24"/>
                <w:lang w:val="ro-RO"/>
              </w:rPr>
              <w:t>r</w:t>
            </w:r>
            <w:r w:rsidR="009F5AE2" w:rsidRPr="00973029">
              <w:rPr>
                <w:rStyle w:val="spar"/>
                <w:rFonts w:ascii="Times New Roman" w:hAnsi="Times New Roman" w:cs="Times New Roman"/>
                <w:sz w:val="24"/>
                <w:szCs w:val="24"/>
                <w:lang w:val="ro-RO"/>
              </w:rPr>
              <w:t xml:space="preserve">edresare și </w:t>
            </w:r>
            <w:r w:rsidRPr="00973029">
              <w:rPr>
                <w:rStyle w:val="spar"/>
                <w:rFonts w:ascii="Times New Roman" w:hAnsi="Times New Roman" w:cs="Times New Roman"/>
                <w:sz w:val="24"/>
                <w:szCs w:val="24"/>
                <w:lang w:val="ro-RO"/>
              </w:rPr>
              <w:t xml:space="preserve">reziliență,  și se confruntă cu un risc fiscal sistemic, iminent și de o gravitate </w:t>
            </w:r>
            <w:r w:rsidRPr="00973029">
              <w:rPr>
                <w:rStyle w:val="spar"/>
                <w:rFonts w:ascii="Times New Roman" w:hAnsi="Times New Roman" w:cs="Times New Roman"/>
                <w:sz w:val="24"/>
                <w:szCs w:val="24"/>
                <w:lang w:val="ro-RO"/>
              </w:rPr>
              <w:lastRenderedPageBreak/>
              <w:t>excepțională, generat de o supracontractare masivă și necorelată cu realitățile bugetare a proiectelor de infrastructură finanțate din Planul Național de Redresare și Reziliență (PNRR)</w:t>
            </w:r>
            <w:r w:rsidR="00D55B4F" w:rsidRPr="00973029">
              <w:rPr>
                <w:rStyle w:val="spar"/>
                <w:rFonts w:ascii="Times New Roman" w:hAnsi="Times New Roman" w:cs="Times New Roman"/>
                <w:sz w:val="24"/>
                <w:szCs w:val="24"/>
                <w:lang w:val="ro-RO"/>
              </w:rPr>
              <w:t>,</w:t>
            </w:r>
          </w:p>
          <w:p w14:paraId="15F3EB49" w14:textId="7EDA33F5" w:rsidR="000D34C7" w:rsidRPr="00973029" w:rsidRDefault="000D34C7" w:rsidP="003F3D9A">
            <w:pPr>
              <w:spacing w:after="0" w:line="276" w:lineRule="auto"/>
              <w:ind w:right="986"/>
              <w:jc w:val="both"/>
              <w:rPr>
                <w:rStyle w:val="spar"/>
                <w:rFonts w:ascii="Times New Roman" w:hAnsi="Times New Roman" w:cs="Times New Roman"/>
                <w:sz w:val="24"/>
                <w:szCs w:val="24"/>
                <w:lang w:val="ro-RO"/>
              </w:rPr>
            </w:pPr>
            <w:r w:rsidRPr="00973029">
              <w:rPr>
                <w:rStyle w:val="spar"/>
                <w:rFonts w:ascii="Times New Roman" w:hAnsi="Times New Roman" w:cs="Times New Roman"/>
                <w:sz w:val="24"/>
                <w:szCs w:val="24"/>
                <w:lang w:val="ro-RO"/>
              </w:rPr>
              <w:t xml:space="preserve">       Luând în considerare faptul că a fost creat un portofoliu de angajamente financiare viitoare care depășește în mod manifest capacitatea de susținere a bugetului național iar în absența unor măsuri corective ferme și imediate, </w:t>
            </w:r>
            <w:r w:rsidR="00735C54" w:rsidRPr="00973029">
              <w:rPr>
                <w:rStyle w:val="spar"/>
                <w:rFonts w:ascii="Times New Roman" w:hAnsi="Times New Roman" w:cs="Times New Roman"/>
                <w:sz w:val="24"/>
                <w:szCs w:val="24"/>
                <w:lang w:val="ro-RO"/>
              </w:rPr>
              <w:t>s-</w:t>
            </w:r>
            <w:r w:rsidRPr="00973029">
              <w:rPr>
                <w:rStyle w:val="spar"/>
                <w:rFonts w:ascii="Times New Roman" w:hAnsi="Times New Roman" w:cs="Times New Roman"/>
                <w:sz w:val="24"/>
                <w:szCs w:val="24"/>
                <w:lang w:val="ro-RO"/>
              </w:rPr>
              <w:t>ar declanșa consecințe macroeconomice severe,</w:t>
            </w:r>
            <w:r w:rsidR="00735C54" w:rsidRPr="00973029">
              <w:rPr>
                <w:rStyle w:val="spar"/>
                <w:rFonts w:ascii="Times New Roman" w:hAnsi="Times New Roman" w:cs="Times New Roman"/>
                <w:sz w:val="24"/>
                <w:szCs w:val="24"/>
                <w:lang w:val="ro-RO"/>
              </w:rPr>
              <w:t xml:space="preserve"> existând riscul de neîncadrare în traiectoria fiscală asumată de România în cadrul planului fiscal, </w:t>
            </w:r>
          </w:p>
          <w:p w14:paraId="7F453972" w14:textId="7B84F69A" w:rsidR="004A273D" w:rsidRPr="00973029" w:rsidRDefault="004A273D" w:rsidP="003F3D9A">
            <w:pPr>
              <w:spacing w:after="0" w:line="276" w:lineRule="auto"/>
              <w:ind w:right="986"/>
              <w:jc w:val="both"/>
              <w:rPr>
                <w:rStyle w:val="spar"/>
                <w:rFonts w:ascii="Times New Roman" w:hAnsi="Times New Roman" w:cs="Times New Roman"/>
                <w:sz w:val="24"/>
                <w:szCs w:val="24"/>
                <w:lang w:val="ro-RO"/>
              </w:rPr>
            </w:pPr>
            <w:r w:rsidRPr="00973029">
              <w:rPr>
                <w:rStyle w:val="spar"/>
                <w:rFonts w:ascii="Times New Roman" w:hAnsi="Times New Roman" w:cs="Times New Roman"/>
                <w:sz w:val="24"/>
                <w:szCs w:val="24"/>
                <w:lang w:val="ro-RO"/>
              </w:rPr>
              <w:t xml:space="preserve">         </w:t>
            </w:r>
            <w:r w:rsidR="0016246F" w:rsidRPr="00973029">
              <w:rPr>
                <w:rStyle w:val="spar"/>
                <w:rFonts w:ascii="Times New Roman" w:hAnsi="Times New Roman" w:cs="Times New Roman"/>
                <w:sz w:val="24"/>
                <w:szCs w:val="24"/>
                <w:lang w:val="ro-RO"/>
              </w:rPr>
              <w:t>A</w:t>
            </w:r>
            <w:r w:rsidRPr="00973029">
              <w:rPr>
                <w:rStyle w:val="spar"/>
                <w:rFonts w:ascii="Times New Roman" w:hAnsi="Times New Roman" w:cs="Times New Roman"/>
                <w:sz w:val="24"/>
                <w:szCs w:val="24"/>
                <w:lang w:val="ro-RO"/>
              </w:rPr>
              <w:t>vând în vedere necesitatea instituirii un</w:t>
            </w:r>
            <w:r w:rsidR="00D55B4F" w:rsidRPr="00973029">
              <w:rPr>
                <w:rStyle w:val="spar"/>
                <w:rFonts w:ascii="Times New Roman" w:hAnsi="Times New Roman" w:cs="Times New Roman"/>
                <w:sz w:val="24"/>
                <w:szCs w:val="24"/>
                <w:lang w:val="ro-RO"/>
              </w:rPr>
              <w:t>ui</w:t>
            </w:r>
            <w:r w:rsidRPr="00973029">
              <w:rPr>
                <w:rStyle w:val="spar"/>
                <w:rFonts w:ascii="Times New Roman" w:hAnsi="Times New Roman" w:cs="Times New Roman"/>
                <w:sz w:val="24"/>
                <w:szCs w:val="24"/>
                <w:lang w:val="ro-RO"/>
              </w:rPr>
              <w:t xml:space="preserve"> control riguros, centralizat și transparent al cheltuielilor publice aferente proiectelor de infrastructură finanțate din surse europene </w:t>
            </w:r>
            <w:r w:rsidR="00D55B4F" w:rsidRPr="00973029">
              <w:rPr>
                <w:rStyle w:val="spar"/>
                <w:rFonts w:ascii="Times New Roman" w:hAnsi="Times New Roman" w:cs="Times New Roman"/>
                <w:sz w:val="24"/>
                <w:szCs w:val="24"/>
                <w:lang w:val="ro-RO"/>
              </w:rPr>
              <w:t xml:space="preserve">        </w:t>
            </w:r>
            <w:r w:rsidRPr="00973029">
              <w:rPr>
                <w:rStyle w:val="spar"/>
                <w:rFonts w:ascii="Times New Roman" w:hAnsi="Times New Roman" w:cs="Times New Roman"/>
                <w:sz w:val="24"/>
                <w:szCs w:val="24"/>
                <w:lang w:val="ro-RO"/>
              </w:rPr>
              <w:t>printr-un un set de măsuri structurate, menite să restabilească disciplina bugetară și să prioritizeze investițiile în funcție de maturitate și sustenabilitate financiară</w:t>
            </w:r>
            <w:r w:rsidR="007E105E" w:rsidRPr="00973029">
              <w:rPr>
                <w:rStyle w:val="spar"/>
                <w:rFonts w:ascii="Times New Roman" w:hAnsi="Times New Roman" w:cs="Times New Roman"/>
                <w:sz w:val="24"/>
                <w:szCs w:val="24"/>
                <w:lang w:val="ro-RO"/>
              </w:rPr>
              <w:t xml:space="preserve">, </w:t>
            </w:r>
          </w:p>
          <w:p w14:paraId="35469D51" w14:textId="7E8B2BC1" w:rsidR="00115104" w:rsidRPr="00973029" w:rsidRDefault="00115104" w:rsidP="003F3D9A">
            <w:pPr>
              <w:spacing w:after="0" w:line="276" w:lineRule="auto"/>
              <w:ind w:right="986" w:firstLine="417"/>
              <w:jc w:val="both"/>
              <w:rPr>
                <w:rStyle w:val="spar"/>
                <w:rFonts w:ascii="Times New Roman" w:hAnsi="Times New Roman" w:cs="Times New Roman"/>
                <w:sz w:val="24"/>
                <w:szCs w:val="24"/>
                <w:lang w:val="ro-RO"/>
              </w:rPr>
            </w:pPr>
            <w:r w:rsidRPr="00973029">
              <w:rPr>
                <w:rFonts w:ascii="Times New Roman" w:hAnsi="Times New Roman" w:cs="Times New Roman"/>
                <w:noProof/>
                <w:sz w:val="24"/>
                <w:szCs w:val="24"/>
                <w:lang w:val="ro-RO"/>
              </w:rPr>
              <w:t>Ținând cont de faptul că supracontractarea poate genera presiune asupra susținerii cheltuielilor din bugetul de stat, sub forma obligațiilor de asigurare a cofinanțării, TVA și de acoperire a eventualelor cheltuieli neeligibile, având potențialul de a deveni o sursă de accentuare a crizei fiscale, în special în condițiile în care este utilizată pentru a contracara efectele negative asupra absorbției fondurilor europene nerambursabile generate de  ritmul lent de implementare și/sau progres</w:t>
            </w:r>
            <w:r w:rsidR="00D55B4F" w:rsidRPr="00973029">
              <w:rPr>
                <w:rFonts w:ascii="Times New Roman" w:hAnsi="Times New Roman" w:cs="Times New Roman"/>
                <w:noProof/>
                <w:sz w:val="24"/>
                <w:szCs w:val="24"/>
                <w:lang w:val="ro-RO"/>
              </w:rPr>
              <w:t xml:space="preserve"> </w:t>
            </w:r>
            <w:r w:rsidRPr="00973029">
              <w:rPr>
                <w:rFonts w:ascii="Times New Roman" w:hAnsi="Times New Roman" w:cs="Times New Roman"/>
                <w:noProof/>
                <w:sz w:val="24"/>
                <w:szCs w:val="24"/>
                <w:lang w:val="ro-RO"/>
              </w:rPr>
              <w:t>fizic redus pe un număr mare de contracte, impun măsuri care să permită o ajustare care minimizează pierderile și riscurile de litigii pentru lucrări deja efectuate</w:t>
            </w:r>
            <w:r w:rsidR="00D55B4F" w:rsidRPr="00973029">
              <w:rPr>
                <w:rFonts w:ascii="Times New Roman" w:hAnsi="Times New Roman" w:cs="Times New Roman"/>
                <w:noProof/>
                <w:sz w:val="24"/>
                <w:szCs w:val="24"/>
                <w:lang w:val="ro-RO"/>
              </w:rPr>
              <w:t>,</w:t>
            </w:r>
          </w:p>
          <w:p w14:paraId="1865BD5F" w14:textId="671BF283" w:rsidR="002A2D18" w:rsidRPr="00973029" w:rsidRDefault="005E4806" w:rsidP="00B05C6F">
            <w:pPr>
              <w:spacing w:after="0" w:line="276" w:lineRule="auto"/>
              <w:ind w:right="986" w:firstLine="417"/>
              <w:jc w:val="both"/>
              <w:rPr>
                <w:rFonts w:ascii="Times New Roman" w:hAnsi="Times New Roman" w:cs="Times New Roman"/>
                <w:sz w:val="24"/>
                <w:szCs w:val="24"/>
                <w:lang w:val="ro-RO"/>
              </w:rPr>
            </w:pPr>
            <w:r w:rsidRPr="00973029">
              <w:rPr>
                <w:rFonts w:ascii="Times New Roman" w:hAnsi="Times New Roman" w:cs="Times New Roman"/>
                <w:sz w:val="24"/>
                <w:szCs w:val="24"/>
                <w:lang w:val="ro-RO"/>
              </w:rPr>
              <w:t>Întrucât elementele sus-menţionate vizează interesul public şi constituie o situaţie urgentă şi extraordinară, a cărei reglementare nu poate fi amânată, se impune adoptarea de măsuri imediate pe calea ordonanţei de urgenţă,</w:t>
            </w:r>
          </w:p>
        </w:tc>
        <w:tc>
          <w:tcPr>
            <w:tcW w:w="20" w:type="dxa"/>
            <w:tcBorders>
              <w:top w:val="nil"/>
              <w:left w:val="nil"/>
              <w:bottom w:val="nil"/>
              <w:right w:val="nil"/>
            </w:tcBorders>
            <w:shd w:val="clear" w:color="auto" w:fill="FFFFFF"/>
            <w:vAlign w:val="bottom"/>
          </w:tcPr>
          <w:p w14:paraId="121E9E4F" w14:textId="51C20B30" w:rsidR="002A2D18" w:rsidRPr="00973029" w:rsidRDefault="002A2D18" w:rsidP="003F3D9A">
            <w:pPr>
              <w:spacing w:after="0" w:line="276" w:lineRule="auto"/>
              <w:jc w:val="both"/>
              <w:rPr>
                <w:rFonts w:ascii="Times New Roman" w:eastAsia="Times New Roman" w:hAnsi="Times New Roman" w:cs="Times New Roman"/>
                <w:kern w:val="0"/>
                <w:sz w:val="24"/>
                <w:szCs w:val="24"/>
                <w:lang w:val="ro-RO"/>
                <w14:ligatures w14:val="none"/>
              </w:rPr>
            </w:pPr>
          </w:p>
        </w:tc>
      </w:tr>
      <w:tr w:rsidR="00A87768" w:rsidRPr="00973029" w14:paraId="5689AD8E" w14:textId="77777777" w:rsidTr="009F5AE2">
        <w:tc>
          <w:tcPr>
            <w:tcW w:w="10062" w:type="dxa"/>
            <w:tcBorders>
              <w:top w:val="nil"/>
              <w:left w:val="nil"/>
              <w:bottom w:val="nil"/>
              <w:right w:val="nil"/>
            </w:tcBorders>
            <w:shd w:val="clear" w:color="auto" w:fill="FFFFFF"/>
            <w:vAlign w:val="bottom"/>
          </w:tcPr>
          <w:p w14:paraId="3F933E32" w14:textId="77777777" w:rsidR="000D34C7" w:rsidRPr="00973029" w:rsidRDefault="000D34C7" w:rsidP="00B05C6F">
            <w:pPr>
              <w:pStyle w:val="Default"/>
              <w:tabs>
                <w:tab w:val="left" w:pos="9064"/>
              </w:tabs>
              <w:spacing w:line="276" w:lineRule="auto"/>
              <w:ind w:right="986"/>
              <w:jc w:val="both"/>
              <w:rPr>
                <w:rStyle w:val="spar"/>
                <w:rFonts w:ascii="Times New Roman" w:hAnsi="Times New Roman" w:cs="Times New Roman"/>
                <w:color w:val="auto"/>
              </w:rPr>
            </w:pPr>
          </w:p>
        </w:tc>
        <w:tc>
          <w:tcPr>
            <w:tcW w:w="20" w:type="dxa"/>
            <w:tcBorders>
              <w:top w:val="nil"/>
              <w:left w:val="nil"/>
              <w:bottom w:val="nil"/>
              <w:right w:val="nil"/>
            </w:tcBorders>
            <w:shd w:val="clear" w:color="auto" w:fill="FFFFFF"/>
            <w:vAlign w:val="bottom"/>
          </w:tcPr>
          <w:p w14:paraId="0EC5D504" w14:textId="77777777" w:rsidR="000D34C7" w:rsidRPr="00973029" w:rsidRDefault="000D34C7" w:rsidP="003F3D9A">
            <w:pPr>
              <w:spacing w:after="0" w:line="276" w:lineRule="auto"/>
              <w:jc w:val="both"/>
              <w:rPr>
                <w:rFonts w:ascii="Times New Roman" w:eastAsia="Times New Roman" w:hAnsi="Times New Roman" w:cs="Times New Roman"/>
                <w:kern w:val="0"/>
                <w:sz w:val="24"/>
                <w:szCs w:val="24"/>
                <w:lang w:val="ro-RO"/>
                <w14:ligatures w14:val="none"/>
              </w:rPr>
            </w:pPr>
          </w:p>
        </w:tc>
      </w:tr>
    </w:tbl>
    <w:p w14:paraId="52CB3571" w14:textId="36337730" w:rsidR="00CB5B07" w:rsidRPr="00973029" w:rsidRDefault="00CB5B07" w:rsidP="00B05C6F">
      <w:pPr>
        <w:spacing w:after="0" w:line="276" w:lineRule="auto"/>
        <w:ind w:right="135" w:firstLine="720"/>
        <w:jc w:val="both"/>
        <w:rPr>
          <w:rFonts w:ascii="Times New Roman" w:hAnsi="Times New Roman" w:cs="Times New Roman"/>
          <w:sz w:val="24"/>
          <w:szCs w:val="24"/>
          <w:lang w:val="ro-RO"/>
        </w:rPr>
      </w:pPr>
      <w:r w:rsidRPr="00973029">
        <w:rPr>
          <w:rStyle w:val="spar"/>
          <w:rFonts w:ascii="Times New Roman" w:hAnsi="Times New Roman" w:cs="Times New Roman"/>
          <w:sz w:val="24"/>
          <w:szCs w:val="24"/>
          <w:lang w:val="ro-RO"/>
        </w:rPr>
        <w:t xml:space="preserve">În temeiul art. </w:t>
      </w:r>
      <w:r w:rsidR="00B9061A" w:rsidRPr="00973029">
        <w:rPr>
          <w:rStyle w:val="spar"/>
          <w:rFonts w:ascii="Times New Roman" w:hAnsi="Times New Roman" w:cs="Times New Roman"/>
          <w:sz w:val="24"/>
          <w:szCs w:val="24"/>
          <w:lang w:val="ro-RO"/>
        </w:rPr>
        <w:t xml:space="preserve">115 alin.(4) </w:t>
      </w:r>
      <w:r w:rsidRPr="00973029">
        <w:rPr>
          <w:rStyle w:val="spar"/>
          <w:rFonts w:ascii="Times New Roman" w:hAnsi="Times New Roman" w:cs="Times New Roman"/>
          <w:sz w:val="24"/>
          <w:szCs w:val="24"/>
          <w:lang w:val="ro-RO"/>
        </w:rPr>
        <w:t xml:space="preserve">din </w:t>
      </w:r>
      <w:r w:rsidR="00AC0491" w:rsidRPr="00973029">
        <w:rPr>
          <w:rStyle w:val="spar"/>
          <w:rFonts w:ascii="Times New Roman" w:hAnsi="Times New Roman" w:cs="Times New Roman"/>
          <w:sz w:val="24"/>
          <w:szCs w:val="24"/>
          <w:lang w:val="ro-RO"/>
        </w:rPr>
        <w:t>Constituția</w:t>
      </w:r>
      <w:r w:rsidRPr="00973029">
        <w:rPr>
          <w:rStyle w:val="spar"/>
          <w:rFonts w:ascii="Times New Roman" w:hAnsi="Times New Roman" w:cs="Times New Roman"/>
          <w:sz w:val="24"/>
          <w:szCs w:val="24"/>
          <w:lang w:val="ro-RO"/>
        </w:rPr>
        <w:t xml:space="preserve"> României, republicată, </w:t>
      </w:r>
    </w:p>
    <w:p w14:paraId="3EF82C23" w14:textId="78530AFD" w:rsidR="00EE742C" w:rsidRPr="00973029" w:rsidRDefault="002A2D18" w:rsidP="003F3D9A">
      <w:pPr>
        <w:spacing w:after="0" w:line="276" w:lineRule="auto"/>
        <w:ind w:left="720"/>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Guvernul României adoptă prezenta ordonanță</w:t>
      </w:r>
      <w:r w:rsidR="00AC0491"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de urgență</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p>
    <w:p w14:paraId="5E51236C" w14:textId="77777777" w:rsidR="00AC0491" w:rsidRPr="00973029" w:rsidRDefault="00AC0491"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p>
    <w:p w14:paraId="68BAFA89" w14:textId="600B8B0B" w:rsidR="00AC0491" w:rsidRPr="00973029" w:rsidRDefault="00735C54"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Art. </w:t>
      </w:r>
      <w:r w:rsidR="005E4806"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1 -</w:t>
      </w:r>
      <w:r w:rsidR="005E480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00AC0491"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(1) Începând cu data intrării în vigoare a prezentei ordonanței de urgență, se suspendă încheierea sau emiterea contractelor/deciziilor/ordinelor de finanțare în cadrul Planului Național de Redresare și Reziliență</w:t>
      </w:r>
      <w:r w:rsidR="004D7E3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00211BD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de către coordonatorii de reforme și/sau investiții, agențiile de implementare și responsabilii de implementarea investițiilor specifice locale, după caz, așa cum sunt definiți în Ordonanța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w:t>
      </w:r>
      <w:r w:rsidR="005E480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aprobată cu modificări şi completări prin Legea nr. 178/2022, </w:t>
      </w:r>
      <w:r w:rsidR="00211BD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cu modificările și completările ulterioare </w:t>
      </w:r>
      <w:r w:rsidR="004D7E3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cu beneficiarii</w:t>
      </w:r>
      <w:r w:rsidR="00211BD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astfel cum sunt definiți la art. 2 lit. l) din aceeași ordonanță de urgență.</w:t>
      </w:r>
      <w:r w:rsidR="004D7E3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p>
    <w:p w14:paraId="4744868F" w14:textId="3DB5D284" w:rsidR="004D19FF" w:rsidRPr="00973029" w:rsidRDefault="00AC0491"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(2) Măsura prevăzută la alin. (1) se aplică până la </w:t>
      </w:r>
      <w:r w:rsidR="00F83E0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aprobarea </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de </w:t>
      </w:r>
      <w:r w:rsidR="00F83E0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către </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Comisia Europeană a Deciziei de modificare a Deciziei de punere în aplicare a Consiliului din 3 noiembrie 2021 de aprobare a evaluării planului de redresare şi rezilienţă al României</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modificată prin Decizia de punere în aplicare a Consiliului din </w:t>
      </w:r>
      <w:r w:rsidR="00D55B4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5</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decembrie 2023</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p>
    <w:p w14:paraId="69C8DE44" w14:textId="7BC9204E" w:rsidR="00AC0491" w:rsidRPr="00973029" w:rsidRDefault="00AC0491"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lastRenderedPageBreak/>
        <w:t xml:space="preserve">(3) Prin excepție de la prevederile alin. (1), în scopul eficientizării și accelerării implementării investițiilor, precum și pentru atingerea jaloanelor și țintelor </w:t>
      </w:r>
      <w:r w:rsidR="00211F8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ce fac obiectul renegocierii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în Planul Național de Redresare și Reziliență, în cazuri temeinic justificate, prin memorandum inițiat de ordonatorii principali de credite cu rol de coordonatori de reformă și</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/sau</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investiții, cu avizul Ministerului Investițiilor și Proiectelor Europene</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și al Ministerului Finanțelor</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Guvernul poate autoriza încheierea sau emiterea de contracte/decizii/ordine de finanțare.</w:t>
      </w:r>
    </w:p>
    <w:p w14:paraId="74D44FA6" w14:textId="7CB85880" w:rsidR="00B96838" w:rsidRPr="00973029" w:rsidRDefault="00211BDB" w:rsidP="008F1947">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(4) După</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bookmarkStart w:id="1" w:name="_Hlk204795167"/>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aprobarea de către Comisia Europeană a Deciziei de modificare a Deciziei de punere în aplicare a Consiliului din 3 noiembrie 2021 de aprobare a evaluării planului de redresare şi rezilienţă al României</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00BB211E" w:rsidRPr="00973029">
        <w:rPr>
          <w:shd w:val="clear" w:color="auto" w:fill="FFFFFF"/>
          <w:lang w:val="ro-RO"/>
        </w:rPr>
        <w:t xml:space="preserve"> </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modificată prin Decizia de punere în aplicare a Consiliului din </w:t>
      </w:r>
      <w:r w:rsidR="00D55B4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5</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decembrie 2023,</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bookmarkEnd w:id="1"/>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coordonatorii de reforme și/sau investiții, agențiile de implementare și responsabilii de implementarea investițiilor specifice locale, după caz, încheie sau emit contracte/decizii/ordine de finanțare numai pentru atingerea jaloanelor și țintelor ce fac obiectul Planul Național de Redresare și Reziliență</w:t>
      </w:r>
      <w:r w:rsidR="00445D90"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modificat</w:t>
      </w:r>
      <w:r w:rsidR="00AF13E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în urma renegocierii</w:t>
      </w:r>
      <w:r w:rsidR="00445D90"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p>
    <w:p w14:paraId="4ABEB316" w14:textId="62ED1535" w:rsidR="00B96838" w:rsidRPr="00973029" w:rsidRDefault="00EC2A15" w:rsidP="00A87768">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Art. </w:t>
      </w:r>
      <w:r w:rsidR="00C37DFD"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2 -</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00B9683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(1) Începând cu data intrării în vigoare a prezentei ordonanțe de urgență, se suspendă încheierea de angajamente legale </w:t>
      </w:r>
      <w:r w:rsidR="00CB432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în cadrul </w:t>
      </w:r>
      <w:r w:rsidR="00AA3233"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reformelor și investițiilor finanțate prin Planul Național de Redresare și Reziliență  </w:t>
      </w:r>
      <w:r w:rsidR="00B9683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de către beneficiari</w:t>
      </w:r>
      <w:r w:rsidR="00445D90"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sau structurile de implementare, după caz,</w:t>
      </w:r>
      <w:r w:rsidR="00E307E5"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instituții și autorități publice, astfel cum sunt definite la </w:t>
      </w:r>
      <w:hyperlink r:id="rId9" w:history="1">
        <w:r w:rsidR="00E307E5"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art. 2 alin. (1) pct. 30 din Legea nr. 500/2002</w:t>
        </w:r>
      </w:hyperlink>
      <w:r w:rsidR="00B9061A"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 xml:space="preserve"> privind finanțele publice</w:t>
      </w:r>
      <w:r w:rsidR="00E307E5"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cu modificările și completările ulterioare, și la </w:t>
      </w:r>
      <w:hyperlink r:id="rId10" w:history="1">
        <w:r w:rsidR="00E307E5"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art. 2 alin. (1) pct. 39 din Legea nr. 273/2006</w:t>
        </w:r>
      </w:hyperlink>
      <w:r w:rsidR="00B9061A"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 xml:space="preserve">  privind finanțele publice locale</w:t>
      </w:r>
      <w:r w:rsidR="00E307E5"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cu modificările și completările ulterioare,</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00E307E5"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indiferent de sistemul de finanțare și de subordonare</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p>
    <w:p w14:paraId="50791D1E" w14:textId="1C9D9CE0" w:rsidR="00445D90" w:rsidRPr="00973029" w:rsidRDefault="00445D90"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(2) Începând cu data intrării în vigoare a prezentei ordonanțe de urgență, se suspendă</w:t>
      </w:r>
      <w:r w:rsidRPr="00973029">
        <w:rPr>
          <w:lang w:val="ro-RO"/>
        </w:rPr>
        <w:t xml:space="preserve">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atribuirea de contracte de prestări de servicii, de execuție de lucrări </w:t>
      </w:r>
      <w:r w:rsidR="00CB432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în cadrul </w:t>
      </w:r>
      <w:r w:rsidR="00AA3233"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reformelor și investițiilor finanțate prin Planul Național de Redresare și Reziliență,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de către beneficiari sau structurile de implementare</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și</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operatori</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i</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economici aflați în subordinea/coordonarea/sub autoritatea unei autorităţi publice centrale</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și </w:t>
      </w:r>
      <w:r w:rsidR="00A13422"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locale.</w:t>
      </w:r>
    </w:p>
    <w:p w14:paraId="4F44261E" w14:textId="7F49579C" w:rsidR="004D19FF" w:rsidRPr="00973029" w:rsidRDefault="00B96838"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00AA3233"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3</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Măsura prevăzută la alin. (1) se aplică până la </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aprobarea de către Comisia Europeană a Deciziei de modificare a Deciziei de punere în aplicare a Consiliului din 3 noiembrie 2021 de aprobare a evaluării planului de redresare şi rezilienţă al României</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modificată prin Decizia de punere în aplicare a Consiliului din </w:t>
      </w:r>
      <w:r w:rsidR="00D55B4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5</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decembrie 2023</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p>
    <w:p w14:paraId="5BBD40CF" w14:textId="7FD966DB" w:rsidR="00B96838" w:rsidRPr="00973029" w:rsidRDefault="00B96838"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00AA3233"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4</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Prin excepție de la prevederile alin. (1)</w:t>
      </w:r>
      <w:r w:rsidR="00F92D7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și (2)</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în scopul eficientizării și accelerării implementării investițiilor, precum și pentru atingerea jaloanelor și țintelor ce </w:t>
      </w:r>
      <w:r w:rsidR="009D39A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fac obiectul renegocierii</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în Planul Național de Redresare și Reziliență, în cazuri temeinic justificate, prin memorandum inițiat de ordonatorii principali de credite cu rol de coordonatori de reformă și</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/sau</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investiții, cu avizul Ministerului Investițiilor și Proiectelor Europene, Guvernul poate autoriza beneficiarii și structurile de implementare, să încheie angajamente legale</w:t>
      </w:r>
      <w:r w:rsidR="00AA3233"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sau, după caz, să atribuie contracte de prestări de servicii, de execuție de lucrări</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p>
    <w:p w14:paraId="197A72B2" w14:textId="35E3BC37" w:rsidR="00B96838" w:rsidRPr="00973029" w:rsidRDefault="0052397A" w:rsidP="008F1947">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5</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După</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aprobarea de către Comisia Europeană a Deciziei de modificare a Deciziei de punere în aplicare a Consiliului din 3 noiembrie 2021 de aprobare a evaluării planului de redresare şi rezilienţă al României</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modificată prin Decizia de punere în aplicare a Consiliului din </w:t>
      </w:r>
      <w:r w:rsidR="00D55B4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5</w:t>
      </w:r>
      <w:r w:rsidR="00BB211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decembrie 2023</w:t>
      </w:r>
      <w:r w:rsidR="00C37DF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beneficiarii </w:t>
      </w:r>
      <w:r w:rsidR="004D19FF"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și structurile de implementare p</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revăzuți la alin. (1) și (2), încheie angajamente legale sau, după caz, atribuie contracte de prestări de servicii, de execuție de lucrări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lastRenderedPageBreak/>
        <w:t>numai pentru atingerea jaloanelor și țintelor ce fac obiectul Planul</w:t>
      </w:r>
      <w:r w:rsidR="00CB432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ui</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Național de Redresare și Reziliență </w:t>
      </w:r>
      <w:r w:rsidR="00AF13E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modificat în urma renegocierii</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p>
    <w:p w14:paraId="3974FEA6" w14:textId="60052937" w:rsidR="004E1637" w:rsidRPr="00973029" w:rsidRDefault="00CB5B07"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Art</w:t>
      </w:r>
      <w:r w:rsidR="008A7DE7"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FA152E"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3 </w:t>
      </w:r>
      <w:r w:rsidR="004E1637"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w:t>
      </w:r>
      <w:r w:rsidR="00C15EC4"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6C1DE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(1)</w:t>
      </w:r>
      <w:r w:rsidR="00417043"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4E163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Contractele/deciziile/ordinele de finanțare finanțate din PNRR,</w:t>
      </w:r>
      <w:r w:rsidR="00B26F7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pentru care </w:t>
      </w:r>
      <w:r w:rsidR="004E163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B26F7C"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beneficiarii instituții și autorități publice, astfel cum sunt definite la </w:t>
      </w:r>
      <w:hyperlink r:id="rId11" w:history="1">
        <w:r w:rsidR="00B26F7C"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art. 2 alin. (1) pct. 30 din Legea nr. 500/2002</w:t>
        </w:r>
      </w:hyperlink>
      <w:r w:rsidR="00B26F7C"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cu modificările și completările ulterioare, și la </w:t>
      </w:r>
      <w:hyperlink r:id="rId12" w:history="1">
        <w:r w:rsidR="00B26F7C"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art. 2 alin. (1) pct. 39 din Legea nr. 273/2006</w:t>
        </w:r>
      </w:hyperlink>
      <w:r w:rsidR="00B26F7C"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cu modificările și completările ulterioare, </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indiferent de sistemul de finanțare și de subordonare, </w:t>
      </w:r>
      <w:r w:rsidR="00B26F7C"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precum și operatorii economici aflați </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sub autoritatea</w:t>
      </w:r>
      <w:r w:rsidR="00B26F7C"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acestora, </w:t>
      </w:r>
      <w:r w:rsidR="00B26F7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și/sau structurile de implementar</w:t>
      </w:r>
      <w:r w:rsidR="00E418F0"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e</w:t>
      </w:r>
      <w:r w:rsidR="00B26F7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nu au </w:t>
      </w:r>
      <w:r w:rsidR="00B906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inițiat </w:t>
      </w:r>
      <w:r w:rsidR="004E163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proceduri de atribui</w:t>
      </w:r>
      <w:r w:rsidR="009D39A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re a contractelor de achiziție </w:t>
      </w:r>
      <w:r w:rsidR="004E163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la data intrării în vigoare a prezentei ordonanțe de urgență</w:t>
      </w:r>
      <w:r w:rsidR="002201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9D39A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sunt</w:t>
      </w:r>
      <w:r w:rsidR="004E163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FF183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denunțate</w:t>
      </w:r>
      <w:r w:rsidR="004E163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unilateral</w:t>
      </w:r>
      <w:r w:rsidR="00417043"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9D39A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de către coordonatorii de reforme și/sau investiții, agențiile de implementare și responsabilii de implementarea investițiilor specifice locale</w:t>
      </w:r>
      <w:r w:rsidR="002201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p>
    <w:p w14:paraId="0F0D79CC" w14:textId="6605C89D" w:rsidR="0051432E" w:rsidRPr="00973029" w:rsidRDefault="0051432E"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(2) Prevederile alin. (1) se aplică în mod corespunzător </w:t>
      </w:r>
      <w:r w:rsidR="00747DB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ș</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i pentru procedurile de </w:t>
      </w:r>
      <w:r w:rsidR="000A07E3"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achiziție publică pentru care nu a fost parcursă etapa de comunicare a rezultatului procedurii de achiziție publică la data intrării î</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n vigoare a prezentei ordonanțe de urgență.</w:t>
      </w:r>
    </w:p>
    <w:p w14:paraId="2E3D4714" w14:textId="51D61C42" w:rsidR="002201C5" w:rsidRPr="00973029" w:rsidRDefault="006C1DEB"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r w:rsidR="0051432E"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3</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Denunțarea unilaterală</w:t>
      </w:r>
      <w:r w:rsidR="00747DB1" w:rsidRPr="00973029">
        <w:rPr>
          <w:lang w:val="ro-RO"/>
        </w:rPr>
        <w:t xml:space="preserve"> </w:t>
      </w:r>
      <w:r w:rsidR="00747DB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prevăzută la alin. (1)</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se realizează</w:t>
      </w:r>
      <w:r w:rsidR="00747DB1" w:rsidRPr="00973029">
        <w:rPr>
          <w:lang w:val="ro-RO"/>
        </w:rPr>
        <w:t xml:space="preserve"> </w:t>
      </w:r>
      <w:r w:rsidR="00747DB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prin notificare care se transmite</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în termen de 10 zile de la </w:t>
      </w:r>
      <w:r w:rsidR="00747DB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data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intrării în vigoare a prezentei ordonanțe de urgență.</w:t>
      </w:r>
      <w:r w:rsidR="001D1BC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p>
    <w:p w14:paraId="002FB3C3" w14:textId="25011733" w:rsidR="00417043" w:rsidRPr="00973029" w:rsidRDefault="001D1BC6" w:rsidP="008F1947">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r w:rsidR="0051432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4</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Prin excepție de la prevederile alin. (1)</w:t>
      </w:r>
      <w:r w:rsidR="0051432E"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și (2)</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în scopul eficientizării și accelerării implementării investițiilor, precum și pentru atingerea jaloanelor și țintelor ce fac obiectul renegocierii în Planul Național de Redresare și Reziliență, în cazuri temeinic justificate, </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înainte de expirarea termenului prevăzut la alin.(3),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prin memorandum inițiat de ordonatorii principali de credite cu rol de coordonatori de reformă și</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/sau</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investiții, cu avizul Ministerului Investițiilor și Proiectelor Europene</w:t>
      </w:r>
      <w:r w:rsidR="00135B68" w:rsidRPr="00973029">
        <w:rPr>
          <w:lang w:val="ro-RO"/>
        </w:rPr>
        <w:t xml:space="preserve"> </w:t>
      </w:r>
      <w:r w:rsidR="00135B6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și al Ministerului Finanțelor</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Guvernul poate autoriza </w:t>
      </w:r>
      <w:r w:rsidR="00023851"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continuarea implementării</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contracte</w:t>
      </w:r>
      <w:r w:rsidR="00023851"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lor</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/decizii</w:t>
      </w:r>
      <w:r w:rsidR="00023851"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lor</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/ordine</w:t>
      </w:r>
      <w:r w:rsidR="00023851"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lor</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de finanțare.</w:t>
      </w:r>
    </w:p>
    <w:p w14:paraId="0CE4047B" w14:textId="516F4958" w:rsidR="000F23ED" w:rsidRPr="00973029" w:rsidRDefault="000F23ED"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Art.</w:t>
      </w:r>
      <w:r w:rsidR="00AC0491"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A07862"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4 </w:t>
      </w:r>
      <w:r w:rsidR="006C1DEB"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w:t>
      </w: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6C1DEB"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(1)</w:t>
      </w:r>
      <w:r w:rsidR="006C1DEB"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FF183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Începând cu data intrării în vigoare a prezentei ordonanțe de urgență până la 31 decembrie 202</w:t>
      </w:r>
      <w:r w:rsidR="00E0308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6</w:t>
      </w:r>
      <w:r w:rsidR="00FF183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c</w:t>
      </w:r>
      <w:r w:rsidR="00AD38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ontractele/deciziile/ordinele de finanțare finanțate din PNRR </w:t>
      </w:r>
      <w:r w:rsidR="00EA341F"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pentru care </w:t>
      </w:r>
      <w:r w:rsidR="00AD38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au fost parcurse etapele pregătitoare referitoare la elaborarea studiilor de fezabilitate, și/sau obținerea de avize și autorizații iar procedurile de achiziție de lucrări au fost finalizate fără emiterea ordinului de începere a lucrărilor</w:t>
      </w:r>
      <w:r w:rsidR="00F47BF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se s</w:t>
      </w:r>
      <w:r w:rsidR="00AD38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uspend</w:t>
      </w:r>
      <w:r w:rsidR="00F47BF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ă</w:t>
      </w:r>
      <w:r w:rsidR="00FF183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unilateral, prin notificare,</w:t>
      </w:r>
      <w:r w:rsidR="00AD38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6C1DEB"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de către</w:t>
      </w:r>
      <w:r w:rsidR="00AD38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6C1DEB"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coordonatorii de reforme și/sau investiții, agențiile de implementare și responsabilii de implementarea investițiilor specifice locale</w:t>
      </w:r>
      <w:r w:rsidR="00AD38C5"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p>
    <w:p w14:paraId="65500230" w14:textId="337D3363" w:rsidR="006C1DEB" w:rsidRPr="00973029" w:rsidRDefault="006C1DEB"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(2) Notificarea </w:t>
      </w:r>
      <w:r w:rsidR="00A07862"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prevăzută la alin. (1)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se transmite în termen de 10 zile de la </w:t>
      </w:r>
      <w:r w:rsidR="00A07862"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data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intrării în vigoare a prezentei ordonanțe de urgență</w:t>
      </w:r>
      <w:r w:rsidR="009F6C7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p>
    <w:p w14:paraId="3D36E9B6" w14:textId="0067B115" w:rsidR="00211F8A" w:rsidRPr="00973029" w:rsidRDefault="005279CD" w:rsidP="008F1947">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(3) Prin excepție de la alin. (1), după aprobarea de către Comisia Europeană a Deciziei de modificare a Deciziei de punere în aplicare a Consiliului din 3 noiembrie 2021 de aprobare a evaluării planului de redresare şi rezilienţă al României</w:t>
      </w:r>
      <w:r w:rsidR="00BB211E"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modificată prin Decizia de punere în aplicare a Consiliului din </w:t>
      </w:r>
      <w:r w:rsidR="00D55B4F"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5</w:t>
      </w:r>
      <w:r w:rsidR="00BB211E"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decembrie 2023</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B906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Guvernul poate aproba prin memorandum </w:t>
      </w:r>
      <w:r w:rsidR="00B9061A"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inițiat de ordonatorii principali de credite cu rol de coordonatori de reformă și/sau investiții, cu avizul Ministerului Investițiilor și Proiectelor Europene</w:t>
      </w:r>
      <w:r w:rsidR="00B906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și al Ministerului Finanțelor, continuarea proiectelor aferente investițiilor rămase în PNRR. </w:t>
      </w:r>
    </w:p>
    <w:p w14:paraId="2242A0F7" w14:textId="6186EB75" w:rsidR="004E1637" w:rsidRPr="00973029" w:rsidRDefault="00AD38C5"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Art. </w:t>
      </w:r>
      <w:r w:rsidR="008E489F"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5 </w:t>
      </w:r>
      <w:r w:rsidR="000B4F8D"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4A08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(1)</w:t>
      </w:r>
      <w:r w:rsidR="004A081A"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47112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Contractele/deciziile/ordinele de finanțare finanțate din PNRR</w:t>
      </w:r>
      <w:r w:rsidR="002C403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încheiate cu </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beneficiarii instituții și autorități publice, astfel cum sunt definite la </w:t>
      </w:r>
      <w:hyperlink r:id="rId13" w:history="1">
        <w:r w:rsidR="002C4036"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 xml:space="preserve">art. 2 alin. (1) pct. 30 din Legea </w:t>
        </w:r>
        <w:r w:rsidR="002C4036"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lastRenderedPageBreak/>
          <w:t>nr. 500/2002</w:t>
        </w:r>
      </w:hyperlink>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cu modificările și completările ulterioare, și la </w:t>
      </w:r>
      <w:hyperlink r:id="rId14" w:history="1">
        <w:r w:rsidR="002C4036"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art. 2 alin. (1) pct. 39 din Legea nr. 273/2006</w:t>
        </w:r>
      </w:hyperlink>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cu modificările și completările ulterioare, </w:t>
      </w:r>
      <w:r w:rsidR="00B52CD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indiferent de sistemul de finanțare și de subordonare, </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precum și</w:t>
      </w:r>
      <w:r w:rsidR="00CB432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cu</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operatorii economici aflați </w:t>
      </w:r>
      <w:r w:rsidR="00B52CD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sub autoritatea</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acestora, </w:t>
      </w:r>
      <w:r w:rsidR="0047112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în cadrul cărora progresul fizic al obiectivului de investiții, certificat prin situații de lucrări este </w:t>
      </w:r>
      <w:r w:rsidR="00EB346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cel mult</w:t>
      </w:r>
      <w:r w:rsidR="00A766F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3</w:t>
      </w:r>
      <w:r w:rsidR="0047112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0</w:t>
      </w:r>
      <w:r w:rsidR="00B015C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47112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se derulează </w:t>
      </w:r>
      <w:r w:rsidR="00C3278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în baza unui memorandum</w:t>
      </w:r>
      <w:r w:rsidR="0070346D"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aprobat de Guvern,</w:t>
      </w:r>
      <w:r w:rsidR="00C3278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inițiat </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de către coordonatorul de reforme și/sau investiții cu privire la oportunitatea continuării investiției și a impactului bugetar total</w:t>
      </w:r>
      <w:r w:rsidR="00C3278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avizat de M</w:t>
      </w:r>
      <w:r w:rsidR="0079443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inisterul </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F</w:t>
      </w:r>
      <w:r w:rsidR="0079443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inanțelor</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și </w:t>
      </w:r>
      <w:r w:rsidR="0079443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Ministerul Investițiilor și Proiectelor Europene</w:t>
      </w:r>
      <w:r w:rsidR="00794436" w:rsidRPr="00973029" w:rsidDel="00794436">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47112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în calitate de coordonator național al PNRR</w:t>
      </w:r>
      <w:r w:rsidR="00C3278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A10CF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p>
    <w:p w14:paraId="7EDC995B" w14:textId="143FEEB9" w:rsidR="00A5546C" w:rsidRPr="00973029" w:rsidRDefault="004A081A"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(2) </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Memorandumul prevăzut la alin. (1) va cuprinde </w:t>
      </w:r>
      <w:r w:rsidR="00A5546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următoarele elemente obligatorii:</w:t>
      </w:r>
    </w:p>
    <w:p w14:paraId="7CE9FBF4" w14:textId="1A7E4D45" w:rsidR="00A5546C" w:rsidRPr="00973029" w:rsidRDefault="00A5546C"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a) evaluarea</w:t>
      </w:r>
      <w:r w:rsidR="004A08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impactul</w:t>
      </w:r>
      <w:r w:rsidR="00D6683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ui</w:t>
      </w:r>
      <w:r w:rsidR="004A08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bugetar total</w:t>
      </w:r>
      <w:r w:rsidR="00D6683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r w:rsidR="004A08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inclusiv </w:t>
      </w:r>
      <w:r w:rsidR="00D6683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a </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credite</w:t>
      </w:r>
      <w:r w:rsidR="00D6683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lor</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de angajament și credite</w:t>
      </w:r>
      <w:r w:rsidR="00D6683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lor</w:t>
      </w:r>
      <w:r w:rsidR="009A16F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bugetare repartizate pe ani, până la finalizarea investiției</w:t>
      </w:r>
    </w:p>
    <w:p w14:paraId="4DAC7500" w14:textId="77777777" w:rsidR="00A5546C" w:rsidRPr="00973029" w:rsidRDefault="00A5546C"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b)</w:t>
      </w:r>
      <w:r w:rsidR="004A08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relevanța strategică a proiectului în contextul actual</w:t>
      </w:r>
    </w:p>
    <w:p w14:paraId="7B707218" w14:textId="558010F7" w:rsidR="00A5546C" w:rsidRPr="00973029" w:rsidRDefault="00A5546C" w:rsidP="008F1947">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w:t>
      </w:r>
      <w:r w:rsidR="004A081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riscurile asociate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neimplementării proiectului în raport cu continuarea acestuia</w:t>
      </w:r>
      <w:r w:rsidR="00B52CDB"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inclusiv cele de natură financiară</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p>
    <w:p w14:paraId="43E45B14" w14:textId="21A1410D" w:rsidR="00A10CFC" w:rsidRPr="00973029" w:rsidRDefault="00A10CFC" w:rsidP="003F3D9A">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Art. </w:t>
      </w:r>
      <w:r w:rsidR="00327037"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6</w:t>
      </w:r>
      <w:r w:rsidR="00F37CC0"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832773"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w:t>
      </w:r>
      <w:r w:rsidR="00F37CC0"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05703F"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(1)</w:t>
      </w:r>
      <w:r w:rsidR="0005703F"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Contractele/deciziile/ordinele de finanțare finanțate din PNRR</w:t>
      </w:r>
      <w:r w:rsidR="002C403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încheiate cu </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beneficiarii instituții și autorități publice, astfel cum sunt definite la </w:t>
      </w:r>
      <w:hyperlink r:id="rId15" w:history="1">
        <w:r w:rsidR="002C4036"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art. 2 alin. (1) pct. 30 din Legea nr. 500/2002</w:t>
        </w:r>
      </w:hyperlink>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cu modificările și completările ulterioare, și la </w:t>
      </w:r>
      <w:hyperlink r:id="rId16" w:history="1">
        <w:r w:rsidR="002C4036" w:rsidRPr="00973029">
          <w:rPr>
            <w:rStyle w:val="Hyperlink"/>
            <w:rFonts w:ascii="Times New Roman" w:eastAsia="Times New Roman" w:hAnsi="Times New Roman" w:cs="Times New Roman"/>
            <w:bCs/>
            <w:color w:val="auto"/>
            <w:kern w:val="0"/>
            <w:sz w:val="24"/>
            <w:szCs w:val="24"/>
            <w:u w:val="none"/>
            <w:bdr w:val="none" w:sz="0" w:space="0" w:color="auto" w:frame="1"/>
            <w:shd w:val="clear" w:color="auto" w:fill="FFFFFF"/>
            <w:lang w:val="ro-RO"/>
            <w14:ligatures w14:val="none"/>
          </w:rPr>
          <w:t>art. 2 alin. (1) pct. 39 din Legea nr. 273/2006</w:t>
        </w:r>
      </w:hyperlink>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cu modificările și completările ulterioare, </w:t>
      </w:r>
      <w:r w:rsidR="004E37C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indiferent de sistemul de finanțare și de subordomare, </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precum și </w:t>
      </w:r>
      <w:r w:rsidR="00CB432D"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cu </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operatorii economici aflați </w:t>
      </w:r>
      <w:r w:rsidR="004E37C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sub autoritatea</w:t>
      </w:r>
      <w:r w:rsidR="002C4036"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acestora,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în cadrul cărora progresul fizic al obiectivului de investiții, certificat prin situații de lucrări este mai mare de </w:t>
      </w:r>
      <w:r w:rsidR="00B7552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3</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0% se derulează</w:t>
      </w:r>
      <w:r w:rsidR="0056261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doar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00B7552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în condițiile în care finalizarea obiectivului conform graficului de lucrări asumat </w:t>
      </w:r>
      <w:r w:rsidR="0056261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este</w:t>
      </w:r>
      <w:r w:rsidR="00B7552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anterioară </w:t>
      </w:r>
      <w:r w:rsidR="0056261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datei de </w:t>
      </w:r>
      <w:r w:rsidR="006F593D"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31 august 2026</w:t>
      </w:r>
      <w:r w:rsidR="0005703F"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în baza unui aviz</w:t>
      </w:r>
      <w:r w:rsidR="00DD1A1F"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conform </w:t>
      </w:r>
      <w:r w:rsidR="0005703F"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emis de către Ministerul Investițiilor și Proiectelor Europene</w:t>
      </w:r>
      <w:r w:rsidR="00617F3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la solicitarea coordonatorului de reforme și/sau investiții</w:t>
      </w:r>
      <w:r w:rsidR="003B2A0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prin care se certifică</w:t>
      </w:r>
      <w:r w:rsidR="00CB01A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menținerea proiectelor respective în forma renegociată a PNRR</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p>
    <w:p w14:paraId="42696084" w14:textId="7BC87D69" w:rsidR="00F62B99" w:rsidRPr="00973029" w:rsidRDefault="0005703F" w:rsidP="008F1947">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(2) Ministerul Investițiilor și Proiectelor Europene transmite avizul prevăzut la alin. (1)  în termen de 5 zile de la data înregistrării solicitării prevăzute la alin. (1).</w:t>
      </w:r>
    </w:p>
    <w:p w14:paraId="6094BDC2" w14:textId="2D17BC42" w:rsidR="002A2D18" w:rsidRPr="00973029" w:rsidRDefault="00F62B99" w:rsidP="008F1947">
      <w:pPr>
        <w:spacing w:line="276" w:lineRule="auto"/>
        <w:ind w:firstLine="720"/>
        <w:jc w:val="both"/>
        <w:rPr>
          <w:rFonts w:ascii="Times New Roman" w:hAnsi="Times New Roman" w:cs="Times New Roman"/>
          <w:sz w:val="24"/>
          <w:szCs w:val="24"/>
          <w:bdr w:val="none" w:sz="0" w:space="0" w:color="auto" w:frame="1"/>
          <w:shd w:val="clear" w:color="auto" w:fill="FFFFFF"/>
          <w:lang w:val="ro-RO"/>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Art. </w:t>
      </w:r>
      <w:r w:rsidR="00327037"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7</w:t>
      </w:r>
      <w:r w:rsidR="005F22D4"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5F22D4"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bookmarkStart w:id="2" w:name="_Hlk205555782"/>
      <w:r w:rsidR="004E37C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Începând cu data intrării în vigoare a prezentei ordonanțe de urgență se interzice coordonatorilor de reforme și/sau investiții efectuarea de transferuri de fonduri publice aferente PNRR pentru proiectele ce fac obiectul informărilor Comisiei Europene cu privire la nerespectarea Directivei 2014/24/UE </w:t>
      </w:r>
      <w:r w:rsidR="001F34EB"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a Parlamentului European și a Consiliului din 26 februarie 2014</w:t>
      </w:r>
      <w:r w:rsidR="001F34EB"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 xml:space="preserve"> </w:t>
      </w:r>
      <w:r w:rsidR="004E37C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privind achizițiile publice și de abrogare a Directivei 2004/18/CE</w:t>
      </w:r>
      <w:bookmarkEnd w:id="2"/>
      <w:r w:rsidR="00ED2B9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p>
    <w:p w14:paraId="611A091E" w14:textId="0C991A76" w:rsidR="00A766F7" w:rsidRPr="00973029" w:rsidRDefault="00E8558D" w:rsidP="00A766F7">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Art. </w:t>
      </w:r>
      <w:r w:rsidR="00327037"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8</w:t>
      </w:r>
      <w:r w:rsidR="00A766F7"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 </w:t>
      </w:r>
      <w:r w:rsidR="006946CE"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 </w:t>
      </w:r>
      <w:r w:rsidR="00A766F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r w:rsidR="00A469CD"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1</w:t>
      </w:r>
      <w:r w:rsidR="00A766F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În anul 2025, începând cu data intrării în vigoare a prezentei ordonanțe de urgență, nu se încheie angajamente legale pentru proiecte de investiții no</w:t>
      </w:r>
      <w:r w:rsidR="0094495B"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u</w:t>
      </w:r>
      <w:r w:rsidR="00A766F7"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finanțate prin Programul național de dezvoltare locală etapa I și etapa a II-a, Programul național de investiții ”Anghel Saligny” și Programul național de construcții de interes public sau social.</w:t>
      </w:r>
    </w:p>
    <w:p w14:paraId="469FD2F5" w14:textId="1BCD6F3D" w:rsidR="00B75528" w:rsidRPr="00973029" w:rsidRDefault="00A469CD" w:rsidP="00A766F7">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hAnsi="Times New Roman" w:cs="Times New Roman"/>
          <w:sz w:val="24"/>
          <w:szCs w:val="24"/>
          <w:shd w:val="clear" w:color="auto" w:fill="FFFFFF"/>
          <w:lang w:val="ro-RO"/>
        </w:rPr>
        <w:t>(2</w:t>
      </w:r>
      <w:r w:rsidR="00B75528" w:rsidRPr="00973029">
        <w:rPr>
          <w:rFonts w:ascii="Times New Roman" w:hAnsi="Times New Roman" w:cs="Times New Roman"/>
          <w:sz w:val="24"/>
          <w:szCs w:val="24"/>
          <w:shd w:val="clear" w:color="auto" w:fill="FFFFFF"/>
          <w:lang w:val="ro-RO"/>
        </w:rPr>
        <w:t>) Prin excepție de la </w:t>
      </w:r>
      <w:r w:rsidR="00B75528" w:rsidRPr="00973029">
        <w:rPr>
          <w:rStyle w:val="slgi"/>
          <w:rFonts w:ascii="Times New Roman" w:hAnsi="Times New Roman" w:cs="Times New Roman"/>
          <w:sz w:val="24"/>
          <w:szCs w:val="24"/>
          <w:bdr w:val="none" w:sz="0" w:space="0" w:color="auto" w:frame="1"/>
          <w:shd w:val="clear" w:color="auto" w:fill="FFFFFF"/>
          <w:lang w:val="ro-RO"/>
        </w:rPr>
        <w:t>alin. (</w:t>
      </w:r>
      <w:r w:rsidRPr="00973029">
        <w:rPr>
          <w:rStyle w:val="slgi"/>
          <w:rFonts w:ascii="Times New Roman" w:hAnsi="Times New Roman" w:cs="Times New Roman"/>
          <w:sz w:val="24"/>
          <w:szCs w:val="24"/>
          <w:bdr w:val="none" w:sz="0" w:space="0" w:color="auto" w:frame="1"/>
          <w:shd w:val="clear" w:color="auto" w:fill="FFFFFF"/>
          <w:lang w:val="ro-RO"/>
        </w:rPr>
        <w:t>1</w:t>
      </w:r>
      <w:r w:rsidR="00B75528" w:rsidRPr="00973029">
        <w:rPr>
          <w:rStyle w:val="slgi"/>
          <w:rFonts w:ascii="Times New Roman" w:hAnsi="Times New Roman" w:cs="Times New Roman"/>
          <w:sz w:val="24"/>
          <w:szCs w:val="24"/>
          <w:bdr w:val="none" w:sz="0" w:space="0" w:color="auto" w:frame="1"/>
          <w:shd w:val="clear" w:color="auto" w:fill="FFFFFF"/>
          <w:lang w:val="ro-RO"/>
        </w:rPr>
        <w:t>)</w:t>
      </w:r>
      <w:r w:rsidR="00B75528" w:rsidRPr="00973029">
        <w:rPr>
          <w:rFonts w:ascii="Times New Roman" w:hAnsi="Times New Roman" w:cs="Times New Roman"/>
          <w:sz w:val="24"/>
          <w:szCs w:val="24"/>
          <w:shd w:val="clear" w:color="auto" w:fill="FFFFFF"/>
          <w:lang w:val="ro-RO"/>
        </w:rPr>
        <w:t>, se pot încheia contracte de finanțare pentru proiectele aferente investițiilor legate de mobilitatea militară incluse la finanțare în cadrul Programului național de dezvoltare locală etapa a II-a în temeiul </w:t>
      </w:r>
      <w:hyperlink r:id="rId17" w:history="1">
        <w:r w:rsidR="00B75528" w:rsidRPr="00973029">
          <w:rPr>
            <w:rStyle w:val="Hyperlink"/>
            <w:rFonts w:ascii="Times New Roman" w:hAnsi="Times New Roman" w:cs="Times New Roman"/>
            <w:color w:val="auto"/>
            <w:sz w:val="24"/>
            <w:szCs w:val="24"/>
            <w:u w:val="none"/>
            <w:bdr w:val="none" w:sz="0" w:space="0" w:color="auto" w:frame="1"/>
            <w:shd w:val="clear" w:color="auto" w:fill="FFFFFF"/>
            <w:lang w:val="ro-RO"/>
          </w:rPr>
          <w:t>Ordonanței Guvernului nr. 6/2025</w:t>
        </w:r>
      </w:hyperlink>
      <w:r w:rsidR="00B75528" w:rsidRPr="00973029">
        <w:rPr>
          <w:rFonts w:ascii="Times New Roman" w:hAnsi="Times New Roman" w:cs="Times New Roman"/>
          <w:sz w:val="24"/>
          <w:szCs w:val="24"/>
          <w:shd w:val="clear" w:color="auto" w:fill="FFFFFF"/>
          <w:lang w:val="ro-RO"/>
        </w:rPr>
        <w:t> </w:t>
      </w:r>
      <w:r w:rsidR="00B75528" w:rsidRPr="00973029">
        <w:rPr>
          <w:rFonts w:ascii="Times New Roman" w:hAnsi="Times New Roman" w:cs="Times New Roman"/>
          <w:color w:val="000000"/>
          <w:sz w:val="24"/>
          <w:szCs w:val="24"/>
          <w:shd w:val="clear" w:color="auto" w:fill="FFFFFF"/>
          <w:lang w:val="ro-RO"/>
        </w:rPr>
        <w:t xml:space="preserve">privind stabilirea unor măsuri pentru implementarea programelor naționale din domeniul lucrărilor publice </w:t>
      </w:r>
      <w:r w:rsidR="00B75528" w:rsidRPr="00973029">
        <w:rPr>
          <w:rFonts w:ascii="Times New Roman" w:hAnsi="Times New Roman" w:cs="Times New Roman"/>
          <w:color w:val="000000"/>
          <w:sz w:val="24"/>
          <w:szCs w:val="24"/>
          <w:shd w:val="clear" w:color="auto" w:fill="FFFFFF"/>
          <w:lang w:val="ro-RO"/>
        </w:rPr>
        <w:lastRenderedPageBreak/>
        <w:t xml:space="preserve">și pentru </w:t>
      </w:r>
      <w:r w:rsidR="00B75528" w:rsidRPr="00973029">
        <w:rPr>
          <w:rFonts w:ascii="Times New Roman" w:hAnsi="Times New Roman" w:cs="Times New Roman"/>
          <w:sz w:val="24"/>
          <w:szCs w:val="24"/>
          <w:shd w:val="clear" w:color="auto" w:fill="FFFFFF"/>
          <w:lang w:val="ro-RO"/>
        </w:rPr>
        <w:t>modificarea și completarea unor acte normative, aprobată cu modificări și completări prin </w:t>
      </w:r>
      <w:hyperlink r:id="rId18" w:history="1">
        <w:r w:rsidR="00B75528" w:rsidRPr="00973029">
          <w:rPr>
            <w:rStyle w:val="Hyperlink"/>
            <w:rFonts w:ascii="Times New Roman" w:hAnsi="Times New Roman" w:cs="Times New Roman"/>
            <w:color w:val="auto"/>
            <w:sz w:val="24"/>
            <w:szCs w:val="24"/>
            <w:u w:val="none"/>
            <w:bdr w:val="none" w:sz="0" w:space="0" w:color="auto" w:frame="1"/>
            <w:shd w:val="clear" w:color="auto" w:fill="FFFFFF"/>
            <w:lang w:val="ro-RO"/>
          </w:rPr>
          <w:t>Legea nr. 55/2025</w:t>
        </w:r>
      </w:hyperlink>
      <w:r w:rsidR="00EB6043" w:rsidRPr="00973029">
        <w:rPr>
          <w:lang w:val="ro-RO"/>
        </w:rPr>
        <w:t>.</w:t>
      </w:r>
    </w:p>
    <w:p w14:paraId="3EDCB4D1" w14:textId="31D76E26" w:rsidR="00A766F7" w:rsidRPr="00973029" w:rsidRDefault="00A766F7" w:rsidP="00A766F7">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r w:rsidR="00A469CD"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3</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În anul 2025,</w:t>
      </w:r>
      <w:r w:rsidR="006946CE"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începând cu data intrării în vigoare a prezentei ordonanțe de urgențe, se interzice  atribuirea de contracte de prestări de servicii, de execuție de lucrări, aferente proiectelor de investiții </w:t>
      </w:r>
      <w:r w:rsidR="008766D3"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noi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finanțate din fonduri publice, de către Compania Națională de Investiții "C.N.I." - S.A.</w:t>
      </w:r>
    </w:p>
    <w:p w14:paraId="07A643DB" w14:textId="13A49116" w:rsidR="002B507A" w:rsidRPr="00973029" w:rsidRDefault="00A469CD" w:rsidP="00DA299F">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(4</w:t>
      </w:r>
      <w:r w:rsidR="002B507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Prin excep</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ție de la alin. (1</w:t>
      </w:r>
      <w:r w:rsidR="002B507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și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3</w:t>
      </w:r>
      <w:r w:rsidR="002B507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în cazuri temeinic justificate, Guvernul, prin memorandum, poate</w:t>
      </w:r>
      <w:r w:rsidR="00387BF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aproba încheierea de</w:t>
      </w:r>
      <w:r w:rsidR="002B507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angajamente legale pentru proiecte de investiții noi finanțate prin Programul național de investiții ”Anghel Saligny” și Programul național de construcții de interes public sau social și poate aproba atribuirea </w:t>
      </w:r>
      <w:r w:rsidR="00387BF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de către Compania Națională de Investiții "C.N.I." - S.A. </w:t>
      </w:r>
      <w:r w:rsidR="002B507A"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de contracte de prestări de servicii, de execuție de lucrări, aferente proiectelor de investiții noi</w:t>
      </w:r>
      <w:r w:rsidR="00387BF1"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finanțate din fonduri publice.</w:t>
      </w:r>
    </w:p>
    <w:p w14:paraId="5ABED475" w14:textId="367C9DB3" w:rsidR="00642768" w:rsidRPr="00973029" w:rsidRDefault="00642768" w:rsidP="00642768">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(5) Memorandumul prevăzut la alin. (4) va cuprinde următoarele elemente obligatorii:</w:t>
      </w:r>
    </w:p>
    <w:p w14:paraId="65E9716E" w14:textId="32C23EB7" w:rsidR="00642768" w:rsidRPr="00973029" w:rsidRDefault="00642768" w:rsidP="00642768">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a) evaluarea impactului bugetar total, inclusiv a creditelor de angajament și creditelor bugetare repartizate pe ani, până la finalizarea investiției</w:t>
      </w:r>
    </w:p>
    <w:p w14:paraId="60ECC0DB" w14:textId="6509E1F1" w:rsidR="00642768" w:rsidRPr="00973029" w:rsidRDefault="00642768" w:rsidP="00642768">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b) precizarea impactului asupra deficitului bugetar, pe ani, în raport cu țintele de deficit aprobate prin </w:t>
      </w:r>
      <w:r w:rsidR="006A7C16"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Decizia Consiliului UE</w:t>
      </w:r>
    </w:p>
    <w:p w14:paraId="081F154F" w14:textId="4B20F9C8" w:rsidR="00E8558D" w:rsidRPr="00973029" w:rsidRDefault="006A7C16" w:rsidP="00B05C6F">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c</w:t>
      </w:r>
      <w:r w:rsidR="00642768"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relevanța strategică a proiectului în contextul actual</w:t>
      </w:r>
      <w:r w:rsidR="001D753C"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p>
    <w:p w14:paraId="03441AE9" w14:textId="47D81526" w:rsidR="004B2B85" w:rsidRPr="00973029" w:rsidRDefault="007E105E" w:rsidP="004B2B85">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Art. </w:t>
      </w:r>
      <w:r w:rsidR="00327037"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9</w:t>
      </w:r>
      <w:r w:rsidR="00A766F7"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004B2B85"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(1) În anul 2025, începând cu data intrării în vigoare a prezentei ordonanțe de urgență, autoritățile de management/organismele intermediare nu încheie contracte de finanțare / nu emit decizii de finanțare și nici nu acordă avizul de principiu pentru proiectele noi a căror valoare determină depășirea sumelor alocate în euro, la nivel de program. </w:t>
      </w:r>
    </w:p>
    <w:p w14:paraId="0F65BEA4" w14:textId="5EB46F5C" w:rsidR="004B2B85" w:rsidRPr="00973029" w:rsidRDefault="004B2B85" w:rsidP="00B05C6F">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(2) Prin excepție de la alin. (1), în scopul eficientizării și accelerării implementării proiectelor, în cazuri temeinic justificate, prin memorandum inițiat de ordonatorii principali de credite cu rol autoritate de management, respectiv cu rol de coordonare a programelor regionale, la propunerea conducerii autorităților de management, cu avizul Ministerului Investițiilor și Proiectelor Europene și Ministerului Finanțelor, Guvernul poate aproba încheierea/emiterea contractelor/deciziilor de finanțare și avizelor de principiu cu depășirea sumelor alocate în euro, la nivel de program, cu respectarea limitelor prevăzute la art. 15 din Ordonanța de urgență a Guvernului nr. 133/2021 privind gestionarea financiară a fondurilor europene pentru perioada de programare 2021 - 2027 alocate României din Fondul european de dezvoltare regională, Fondul de coeziune, Fondul social european Plus, Fondul pentru o tranziție justă, aprobată cu modificări prin Legea nr. 231/2023, cu modificările și completările ulterioare, acordând prioritate proiectelor aferente investițiilor diminuate și/sau eliminate din PNRR.</w:t>
      </w:r>
    </w:p>
    <w:p w14:paraId="4962939C" w14:textId="4F8A417E" w:rsidR="004B2B85" w:rsidRPr="00973029" w:rsidRDefault="004B2B85" w:rsidP="004B2B85">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Art. 10 -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(1) Pentru programele aferente politicii de coeziune, dispozițiile art. 9 nu se aplică proiectelor care prevăd investiții publice în infrastructură și dezvoltare regională care întrunesc cerințele pentru a fi contractate, dar a căror contractare conduce la depășirea alocării inițiale aferente apelurilor de proiecte.</w:t>
      </w:r>
    </w:p>
    <w:p w14:paraId="45A08145" w14:textId="61E9BAE9" w:rsidR="00DB0B99" w:rsidRPr="00973029" w:rsidRDefault="004B2B85" w:rsidP="00B05C6F">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(2) Pentru proiectele prevăzute la alin (1), autoritățile de management pot utiliza mecanismul prevăzut la art. 15 din Ordonanța de urgență a Guvernului nr. 133/2021 privind gestionarea financiară a fondurilor europene pentru perioada de programare 2021 - 2027 alocate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lastRenderedPageBreak/>
        <w:t>României din Fondul european de dezvoltare regională, Fondul de coeziune, Fondul social european Plus, Fondul pentru o tranziție justă, aprobată cu modificări prin Legea nr. 231/2023, cu modificările și completările ulterioare, in limita procentului prevăzut de lege, pentru a încheia contracte/decizii/ordine de finanțare, aferente acestora.</w:t>
      </w:r>
    </w:p>
    <w:p w14:paraId="5110E776" w14:textId="60DA921B" w:rsidR="00205248" w:rsidRPr="00973029" w:rsidRDefault="00DB0B99" w:rsidP="00205248">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Art. </w:t>
      </w:r>
      <w:r w:rsidR="00562614"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1</w:t>
      </w:r>
      <w:r w:rsidR="004B2B85"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1</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 </w:t>
      </w:r>
      <w:r w:rsidR="0020524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(1) Începând cu data intrării în vigoare a prezentei ordonanțe de urge</w:t>
      </w:r>
      <w:r w:rsidR="00F5075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n</w:t>
      </w:r>
      <w:r w:rsidR="0020524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ță și până la data de 31.12.2025 se suspendă toate procedurile privind evaluarea</w:t>
      </w:r>
      <w:r w:rsidR="00282ED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w:t>
      </w:r>
      <w:r w:rsidR="0020524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proiectelor și programelor</w:t>
      </w:r>
      <w:r w:rsidR="00282ED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precum și toate proiectele și programele care urmau să fie lansate</w:t>
      </w:r>
      <w:r w:rsidR="00205248"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în acest interval la Administrația Fondului pentru Mediu.</w:t>
      </w:r>
    </w:p>
    <w:p w14:paraId="2EB3B69D" w14:textId="2DED46F0" w:rsidR="00DB0B99" w:rsidRPr="00973029" w:rsidRDefault="00F50758" w:rsidP="00DB0B99">
      <w:pPr>
        <w:spacing w:after="0" w:line="276" w:lineRule="auto"/>
        <w:ind w:firstLine="36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ab/>
      </w:r>
      <w:r w:rsidR="00DB0B99"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(2) Prin excepție de la alin. (1), </w:t>
      </w:r>
      <w:r w:rsidR="008F75B3"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se autorizează Ministerul Mediului, Apelor și Pădurilor să</w:t>
      </w:r>
      <w:r w:rsidR="00DB0B99"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lan</w:t>
      </w:r>
      <w:r w:rsidR="008F75B3"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seze</w:t>
      </w:r>
      <w:r w:rsidR="00DB0B99"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un program pentru persoane fizice pentru  reducerea emisiilor de gaze cu efect de seră în transporturi, prin promovarea vehiculelor de transport rutier nepoluante şi eficiente din punct de vedere energetic, 2025-2030 (Rabla plus si Rabla clasic), în limita a 200 de milioane de lei</w:t>
      </w:r>
      <w:r w:rsidR="00CC3A49"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p>
    <w:p w14:paraId="3F71840B" w14:textId="7B0DC9D2" w:rsidR="00DB0B99" w:rsidRPr="00973029" w:rsidRDefault="00F50758" w:rsidP="00DB0B99">
      <w:pPr>
        <w:spacing w:after="0" w:line="276" w:lineRule="auto"/>
        <w:ind w:firstLine="36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ab/>
      </w:r>
      <w:r w:rsidR="00DB0B99"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(3) Pentru anul 2025, programul privind protecția speciilor de faună sălbatică, prin instalarea de echipamente și/sau dispozitive de tipul gardurilor electrice ori a altor mijloace asemănătoare permise de lege, în vederea diminuării conflictelor și reducerii pagubelor cauzate de animale sălbatice se derulează în limita a 30 de milioane de lei</w:t>
      </w:r>
      <w:r w:rsidR="00F72920"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p>
    <w:p w14:paraId="00E38021" w14:textId="736E1A09" w:rsidR="00DB0B99" w:rsidRPr="00973029" w:rsidRDefault="00F50758" w:rsidP="00B05C6F">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(4) În cazuri temeinic justificate, prin Memorandum aprobat în cadrul Guvernului se poate aproba derularea unuia sau a mai multor proiecte sau programe cu eventuala redimensionare a alocării financiare.</w:t>
      </w:r>
    </w:p>
    <w:p w14:paraId="32B71535" w14:textId="00F2442C" w:rsidR="00DB0B99" w:rsidRPr="00973029" w:rsidRDefault="00DB0B99" w:rsidP="00DB0B99">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Art. </w:t>
      </w:r>
      <w:r w:rsidR="00A766F7"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1</w:t>
      </w:r>
      <w:r w:rsidR="00327037"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2</w:t>
      </w: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 xml:space="preserve"> Începând cu data intrării în vigoare a prezentei ordonanțe de urgență,</w:t>
      </w:r>
      <w:r w:rsidRPr="00973029">
        <w:rPr>
          <w:lang w:val="ro-RO"/>
        </w:rPr>
        <w:t xml:space="preserve"> </w:t>
      </w: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până la data de 31 decembrie 2025 următoarele programe se derulează, în limita creditelor bugetare aprobate:</w:t>
      </w:r>
    </w:p>
    <w:p w14:paraId="34B553F8" w14:textId="0B5AFE35" w:rsidR="00DB0B99" w:rsidRPr="00973029" w:rsidRDefault="00DB0B99" w:rsidP="00DB0B99">
      <w:pPr>
        <w:numPr>
          <w:ilvl w:val="0"/>
          <w:numId w:val="5"/>
        </w:numPr>
        <w:spacing w:after="0" w:line="276" w:lineRule="auto"/>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Programul privind creșterea eficienței energetice a infrastructurii de iluminat public</w:t>
      </w:r>
      <w:r w:rsidR="000B3F2B"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w:t>
      </w:r>
    </w:p>
    <w:p w14:paraId="517445D3" w14:textId="1CF80F42" w:rsidR="000D34C7" w:rsidRPr="00973029" w:rsidRDefault="00DB0B99" w:rsidP="00E8130F">
      <w:pPr>
        <w:numPr>
          <w:ilvl w:val="0"/>
          <w:numId w:val="5"/>
        </w:numPr>
        <w:spacing w:after="0" w:line="276" w:lineRule="auto"/>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Cs/>
          <w:kern w:val="0"/>
          <w:sz w:val="24"/>
          <w:szCs w:val="24"/>
          <w:bdr w:val="none" w:sz="0" w:space="0" w:color="auto" w:frame="1"/>
          <w:shd w:val="clear" w:color="auto" w:fill="FFFFFF"/>
          <w:lang w:val="ro-RO"/>
          <w14:ligatures w14:val="none"/>
        </w:rPr>
        <w:t>Programul privind creșterea eficienței energetice și gestionarea inteligentă a energiei în clădirile publice.</w:t>
      </w:r>
    </w:p>
    <w:p w14:paraId="5C6EE12F" w14:textId="4C9ABB9A" w:rsidR="00A469CD" w:rsidRPr="00973029" w:rsidRDefault="00A469CD" w:rsidP="00A469CD">
      <w:pPr>
        <w:spacing w:after="0" w:line="276" w:lineRule="auto"/>
        <w:ind w:firstLine="720"/>
        <w:jc w:val="both"/>
        <w:rPr>
          <w:rFonts w:ascii="Times New Roman" w:eastAsia="Times New Roman" w:hAnsi="Times New Roman" w:cs="Times New Roman"/>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Art. 1</w:t>
      </w:r>
      <w:r w:rsidR="00AA58C6"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3</w:t>
      </w: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t xml:space="preserve"> - </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Articolul XLIX din Legea nr.141/2025 privind unele măsuri fiscal-bugetare, publicată în Monitorul Oficial al României, Partea I, nr. 699 din 25 iulie 2025, se abrogă</w:t>
      </w:r>
      <w:r w:rsidR="00B05C6F"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w:t>
      </w:r>
      <w:r w:rsidRPr="00973029">
        <w:rPr>
          <w:rFonts w:ascii="Times New Roman" w:eastAsia="Times New Roman" w:hAnsi="Times New Roman" w:cs="Times New Roman"/>
          <w:kern w:val="0"/>
          <w:sz w:val="24"/>
          <w:szCs w:val="24"/>
          <w:bdr w:val="none" w:sz="0" w:space="0" w:color="auto" w:frame="1"/>
          <w:shd w:val="clear" w:color="auto" w:fill="FFFFFF"/>
          <w:lang w:val="ro-RO"/>
          <w14:ligatures w14:val="none"/>
        </w:rPr>
        <w:t xml:space="preserve"> </w:t>
      </w:r>
    </w:p>
    <w:p w14:paraId="3DD404D4" w14:textId="77777777" w:rsidR="00A469CD" w:rsidRPr="00973029" w:rsidRDefault="00A469CD"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p>
    <w:p w14:paraId="0AE955B9" w14:textId="77777777" w:rsidR="00F70078" w:rsidRPr="00973029" w:rsidRDefault="00F70078"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p>
    <w:p w14:paraId="370888E0" w14:textId="77777777" w:rsidR="00F70078" w:rsidRPr="00973029" w:rsidRDefault="00F70078" w:rsidP="003F3D9A">
      <w:pPr>
        <w:spacing w:after="0" w:line="276" w:lineRule="auto"/>
        <w:ind w:firstLine="720"/>
        <w:jc w:val="both"/>
        <w:rPr>
          <w:rFonts w:ascii="Times New Roman" w:eastAsia="Times New Roman" w:hAnsi="Times New Roman" w:cs="Times New Roman"/>
          <w:bCs/>
          <w:kern w:val="0"/>
          <w:sz w:val="24"/>
          <w:szCs w:val="24"/>
          <w:bdr w:val="none" w:sz="0" w:space="0" w:color="auto" w:frame="1"/>
          <w:shd w:val="clear" w:color="auto" w:fill="FFFFFF"/>
          <w:lang w:val="ro-RO"/>
          <w14:ligatures w14:val="none"/>
        </w:rPr>
      </w:pPr>
    </w:p>
    <w:p w14:paraId="6F52E72A" w14:textId="77777777" w:rsidR="00A87768" w:rsidRPr="00973029" w:rsidRDefault="00A87768" w:rsidP="00A87768">
      <w:pPr>
        <w:spacing w:after="0" w:line="276" w:lineRule="auto"/>
        <w:ind w:firstLine="720"/>
        <w:jc w:val="center"/>
        <w:rPr>
          <w:rFonts w:ascii="Times New Roman" w:eastAsia="Times New Roman" w:hAnsi="Times New Roman" w:cs="Times New Roman"/>
          <w:b/>
          <w:bCs/>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bCs/>
          <w:kern w:val="0"/>
          <w:sz w:val="24"/>
          <w:szCs w:val="24"/>
          <w:bdr w:val="none" w:sz="0" w:space="0" w:color="auto" w:frame="1"/>
          <w:shd w:val="clear" w:color="auto" w:fill="FFFFFF"/>
          <w:lang w:val="ro-RO"/>
          <w14:ligatures w14:val="none"/>
        </w:rPr>
        <w:t>PRIM-MINISTRU</w:t>
      </w:r>
    </w:p>
    <w:p w14:paraId="69BF3F12" w14:textId="53895D99" w:rsidR="00A87768" w:rsidRPr="00A469CD" w:rsidRDefault="00A87768" w:rsidP="00A87768">
      <w:pPr>
        <w:spacing w:after="0" w:line="276" w:lineRule="auto"/>
        <w:ind w:firstLine="720"/>
        <w:jc w:val="center"/>
        <w:rPr>
          <w:rFonts w:ascii="Times New Roman" w:eastAsia="Times New Roman" w:hAnsi="Times New Roman" w:cs="Times New Roman"/>
          <w:b/>
          <w:kern w:val="0"/>
          <w:sz w:val="24"/>
          <w:szCs w:val="24"/>
          <w:bdr w:val="none" w:sz="0" w:space="0" w:color="auto" w:frame="1"/>
          <w:shd w:val="clear" w:color="auto" w:fill="FFFFFF"/>
          <w:lang w:val="ro-RO"/>
          <w14:ligatures w14:val="none"/>
        </w:rPr>
      </w:pPr>
      <w:r w:rsidRPr="00973029">
        <w:rPr>
          <w:rFonts w:ascii="Times New Roman" w:eastAsia="Times New Roman" w:hAnsi="Times New Roman" w:cs="Times New Roman"/>
          <w:b/>
          <w:kern w:val="0"/>
          <w:sz w:val="24"/>
          <w:szCs w:val="24"/>
          <w:bdr w:val="none" w:sz="0" w:space="0" w:color="auto" w:frame="1"/>
          <w:shd w:val="clear" w:color="auto" w:fill="FFFFFF"/>
          <w:lang w:val="ro-RO"/>
          <w14:ligatures w14:val="none"/>
        </w:rPr>
        <w:br/>
        <w:t xml:space="preserve">             Ilie-Gavril BOLOJAN</w:t>
      </w:r>
    </w:p>
    <w:sectPr w:rsidR="00A87768" w:rsidRPr="00A469CD" w:rsidSect="007C3706">
      <w:footerReference w:type="default" r:id="rId19"/>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14E7" w14:textId="77777777" w:rsidR="00672909" w:rsidRDefault="00672909" w:rsidP="006A36EE">
      <w:pPr>
        <w:spacing w:after="0" w:line="240" w:lineRule="auto"/>
      </w:pPr>
      <w:r>
        <w:separator/>
      </w:r>
    </w:p>
  </w:endnote>
  <w:endnote w:type="continuationSeparator" w:id="0">
    <w:p w14:paraId="0370FC89" w14:textId="77777777" w:rsidR="00672909" w:rsidRDefault="00672909" w:rsidP="006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254853"/>
      <w:docPartObj>
        <w:docPartGallery w:val="Page Numbers (Bottom of Page)"/>
        <w:docPartUnique/>
      </w:docPartObj>
    </w:sdtPr>
    <w:sdtEndPr>
      <w:rPr>
        <w:noProof/>
      </w:rPr>
    </w:sdtEndPr>
    <w:sdtContent>
      <w:p w14:paraId="139760F3" w14:textId="0D29A3FA" w:rsidR="006A36EE" w:rsidRDefault="006A36EE">
        <w:pPr>
          <w:pStyle w:val="Footer"/>
          <w:jc w:val="right"/>
        </w:pPr>
        <w:r>
          <w:fldChar w:fldCharType="begin"/>
        </w:r>
        <w:r>
          <w:instrText xml:space="preserve"> PAGE   \* MERGEFORMAT </w:instrText>
        </w:r>
        <w:r>
          <w:fldChar w:fldCharType="separate"/>
        </w:r>
        <w:r w:rsidR="006F593D">
          <w:rPr>
            <w:noProof/>
          </w:rPr>
          <w:t>8</w:t>
        </w:r>
        <w:r>
          <w:rPr>
            <w:noProof/>
          </w:rPr>
          <w:fldChar w:fldCharType="end"/>
        </w:r>
      </w:p>
    </w:sdtContent>
  </w:sdt>
  <w:p w14:paraId="2D9E867A" w14:textId="77777777" w:rsidR="006A36EE" w:rsidRDefault="006A3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B6181" w14:textId="77777777" w:rsidR="00672909" w:rsidRDefault="00672909" w:rsidP="006A36EE">
      <w:pPr>
        <w:spacing w:after="0" w:line="240" w:lineRule="auto"/>
      </w:pPr>
      <w:r>
        <w:separator/>
      </w:r>
    </w:p>
  </w:footnote>
  <w:footnote w:type="continuationSeparator" w:id="0">
    <w:p w14:paraId="6CAB13B4" w14:textId="77777777" w:rsidR="00672909" w:rsidRDefault="00672909" w:rsidP="006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51D8F"/>
    <w:multiLevelType w:val="hybridMultilevel"/>
    <w:tmpl w:val="71AAE7BE"/>
    <w:lvl w:ilvl="0" w:tplc="D806F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1778C"/>
    <w:multiLevelType w:val="hybridMultilevel"/>
    <w:tmpl w:val="08A6287C"/>
    <w:lvl w:ilvl="0" w:tplc="5D86759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8753D4"/>
    <w:multiLevelType w:val="hybridMultilevel"/>
    <w:tmpl w:val="60D081B8"/>
    <w:lvl w:ilvl="0" w:tplc="4F98C8A8">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16516E"/>
    <w:multiLevelType w:val="multilevel"/>
    <w:tmpl w:val="849E2C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6C5302BC"/>
    <w:multiLevelType w:val="multilevel"/>
    <w:tmpl w:val="147C4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7A2531"/>
    <w:multiLevelType w:val="multilevel"/>
    <w:tmpl w:val="0FFEBFF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7AA83FC6"/>
    <w:multiLevelType w:val="hybridMultilevel"/>
    <w:tmpl w:val="8C9CA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253296">
    <w:abstractNumId w:val="6"/>
  </w:num>
  <w:num w:numId="2" w16cid:durableId="1319766464">
    <w:abstractNumId w:val="2"/>
  </w:num>
  <w:num w:numId="3" w16cid:durableId="1878464919">
    <w:abstractNumId w:val="1"/>
  </w:num>
  <w:num w:numId="4" w16cid:durableId="1537696147">
    <w:abstractNumId w:val="0"/>
  </w:num>
  <w:num w:numId="5" w16cid:durableId="27025406">
    <w:abstractNumId w:val="5"/>
  </w:num>
  <w:num w:numId="6" w16cid:durableId="379131779">
    <w:abstractNumId w:val="3"/>
  </w:num>
  <w:num w:numId="7" w16cid:durableId="1865554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56"/>
    <w:rsid w:val="00005503"/>
    <w:rsid w:val="00007222"/>
    <w:rsid w:val="00012239"/>
    <w:rsid w:val="0001491A"/>
    <w:rsid w:val="00020643"/>
    <w:rsid w:val="00021A01"/>
    <w:rsid w:val="00023851"/>
    <w:rsid w:val="00027539"/>
    <w:rsid w:val="0004680D"/>
    <w:rsid w:val="0005195D"/>
    <w:rsid w:val="0005703F"/>
    <w:rsid w:val="0007032E"/>
    <w:rsid w:val="00076737"/>
    <w:rsid w:val="00086D83"/>
    <w:rsid w:val="000A03F0"/>
    <w:rsid w:val="000A07E3"/>
    <w:rsid w:val="000A79BC"/>
    <w:rsid w:val="000B0E28"/>
    <w:rsid w:val="000B3F2B"/>
    <w:rsid w:val="000B4F8D"/>
    <w:rsid w:val="000B7ABA"/>
    <w:rsid w:val="000D2563"/>
    <w:rsid w:val="000D34C7"/>
    <w:rsid w:val="000E113E"/>
    <w:rsid w:val="000E6FB8"/>
    <w:rsid w:val="000F23ED"/>
    <w:rsid w:val="000F3AF2"/>
    <w:rsid w:val="000F689F"/>
    <w:rsid w:val="00100977"/>
    <w:rsid w:val="00115104"/>
    <w:rsid w:val="00115EB7"/>
    <w:rsid w:val="00117F56"/>
    <w:rsid w:val="00135B68"/>
    <w:rsid w:val="00136508"/>
    <w:rsid w:val="00144339"/>
    <w:rsid w:val="001452AD"/>
    <w:rsid w:val="00152C42"/>
    <w:rsid w:val="0016246F"/>
    <w:rsid w:val="0016697C"/>
    <w:rsid w:val="00174C33"/>
    <w:rsid w:val="00186FC7"/>
    <w:rsid w:val="00195A4A"/>
    <w:rsid w:val="001A2E3D"/>
    <w:rsid w:val="001B314F"/>
    <w:rsid w:val="001C222E"/>
    <w:rsid w:val="001D1BC6"/>
    <w:rsid w:val="001D2D9A"/>
    <w:rsid w:val="001D53DD"/>
    <w:rsid w:val="001D753C"/>
    <w:rsid w:val="001E0FAA"/>
    <w:rsid w:val="001E7509"/>
    <w:rsid w:val="001F1943"/>
    <w:rsid w:val="001F34EB"/>
    <w:rsid w:val="00204507"/>
    <w:rsid w:val="00205248"/>
    <w:rsid w:val="00206885"/>
    <w:rsid w:val="00211BDB"/>
    <w:rsid w:val="00211F8A"/>
    <w:rsid w:val="00212E73"/>
    <w:rsid w:val="002201C5"/>
    <w:rsid w:val="00220A02"/>
    <w:rsid w:val="00222273"/>
    <w:rsid w:val="00232FF5"/>
    <w:rsid w:val="00235D40"/>
    <w:rsid w:val="00235F5C"/>
    <w:rsid w:val="00236504"/>
    <w:rsid w:val="00244C44"/>
    <w:rsid w:val="00247F1F"/>
    <w:rsid w:val="00250A4A"/>
    <w:rsid w:val="00282D15"/>
    <w:rsid w:val="00282EDB"/>
    <w:rsid w:val="00283DF8"/>
    <w:rsid w:val="002A2D18"/>
    <w:rsid w:val="002B02C7"/>
    <w:rsid w:val="002B507A"/>
    <w:rsid w:val="002C4036"/>
    <w:rsid w:val="002D0380"/>
    <w:rsid w:val="002E032A"/>
    <w:rsid w:val="002E39D8"/>
    <w:rsid w:val="003059C9"/>
    <w:rsid w:val="00307E79"/>
    <w:rsid w:val="003159AE"/>
    <w:rsid w:val="00320202"/>
    <w:rsid w:val="00327037"/>
    <w:rsid w:val="00360747"/>
    <w:rsid w:val="0036677C"/>
    <w:rsid w:val="00371CDF"/>
    <w:rsid w:val="00387655"/>
    <w:rsid w:val="00387BF1"/>
    <w:rsid w:val="003A2130"/>
    <w:rsid w:val="003A5715"/>
    <w:rsid w:val="003A693A"/>
    <w:rsid w:val="003B1AA8"/>
    <w:rsid w:val="003B2A06"/>
    <w:rsid w:val="003C12D5"/>
    <w:rsid w:val="003C36B3"/>
    <w:rsid w:val="003C61D2"/>
    <w:rsid w:val="003D5E10"/>
    <w:rsid w:val="003E02A8"/>
    <w:rsid w:val="003F3D9A"/>
    <w:rsid w:val="0040272C"/>
    <w:rsid w:val="00405AFB"/>
    <w:rsid w:val="00410C1A"/>
    <w:rsid w:val="00416ED6"/>
    <w:rsid w:val="00417043"/>
    <w:rsid w:val="00426F7C"/>
    <w:rsid w:val="0044073C"/>
    <w:rsid w:val="0044513F"/>
    <w:rsid w:val="00445D90"/>
    <w:rsid w:val="0047112A"/>
    <w:rsid w:val="00480E9D"/>
    <w:rsid w:val="004853AE"/>
    <w:rsid w:val="0048577A"/>
    <w:rsid w:val="00494EBB"/>
    <w:rsid w:val="004A081A"/>
    <w:rsid w:val="004A273D"/>
    <w:rsid w:val="004A39D1"/>
    <w:rsid w:val="004B2B85"/>
    <w:rsid w:val="004B6D17"/>
    <w:rsid w:val="004C0A68"/>
    <w:rsid w:val="004C2909"/>
    <w:rsid w:val="004D10F8"/>
    <w:rsid w:val="004D19FF"/>
    <w:rsid w:val="004D7E3F"/>
    <w:rsid w:val="004E1637"/>
    <w:rsid w:val="004E1960"/>
    <w:rsid w:val="004E37C8"/>
    <w:rsid w:val="004E4477"/>
    <w:rsid w:val="004E454E"/>
    <w:rsid w:val="004F0CD1"/>
    <w:rsid w:val="004F13F3"/>
    <w:rsid w:val="004F1771"/>
    <w:rsid w:val="0050258B"/>
    <w:rsid w:val="00502F1E"/>
    <w:rsid w:val="0051432E"/>
    <w:rsid w:val="005224E1"/>
    <w:rsid w:val="0052397A"/>
    <w:rsid w:val="005279CD"/>
    <w:rsid w:val="005414C8"/>
    <w:rsid w:val="00547C4D"/>
    <w:rsid w:val="00561956"/>
    <w:rsid w:val="00562614"/>
    <w:rsid w:val="00563CB7"/>
    <w:rsid w:val="00593A2C"/>
    <w:rsid w:val="0059614C"/>
    <w:rsid w:val="0059751F"/>
    <w:rsid w:val="005A6BF5"/>
    <w:rsid w:val="005B054D"/>
    <w:rsid w:val="005B5805"/>
    <w:rsid w:val="005C1504"/>
    <w:rsid w:val="005E4806"/>
    <w:rsid w:val="005F1641"/>
    <w:rsid w:val="005F22D4"/>
    <w:rsid w:val="005F558F"/>
    <w:rsid w:val="005F5825"/>
    <w:rsid w:val="005F58D7"/>
    <w:rsid w:val="006014C6"/>
    <w:rsid w:val="006102AA"/>
    <w:rsid w:val="00612EAC"/>
    <w:rsid w:val="006136A2"/>
    <w:rsid w:val="00617F3C"/>
    <w:rsid w:val="00624A9B"/>
    <w:rsid w:val="00627284"/>
    <w:rsid w:val="006365B9"/>
    <w:rsid w:val="00642128"/>
    <w:rsid w:val="00642768"/>
    <w:rsid w:val="00660A83"/>
    <w:rsid w:val="0067140A"/>
    <w:rsid w:val="00672909"/>
    <w:rsid w:val="00680A59"/>
    <w:rsid w:val="00680E9A"/>
    <w:rsid w:val="00681ACD"/>
    <w:rsid w:val="00681AEB"/>
    <w:rsid w:val="00683B69"/>
    <w:rsid w:val="00686426"/>
    <w:rsid w:val="006946CE"/>
    <w:rsid w:val="006A01C5"/>
    <w:rsid w:val="006A36EE"/>
    <w:rsid w:val="006A7C16"/>
    <w:rsid w:val="006B7F4B"/>
    <w:rsid w:val="006C0730"/>
    <w:rsid w:val="006C1DEB"/>
    <w:rsid w:val="006C3C65"/>
    <w:rsid w:val="006C7ADB"/>
    <w:rsid w:val="006E1383"/>
    <w:rsid w:val="006F078F"/>
    <w:rsid w:val="006F593D"/>
    <w:rsid w:val="0070346D"/>
    <w:rsid w:val="00710C67"/>
    <w:rsid w:val="00714486"/>
    <w:rsid w:val="00735C54"/>
    <w:rsid w:val="00747DB1"/>
    <w:rsid w:val="00762E53"/>
    <w:rsid w:val="007763BE"/>
    <w:rsid w:val="00794436"/>
    <w:rsid w:val="007B30CB"/>
    <w:rsid w:val="007C0F66"/>
    <w:rsid w:val="007C3706"/>
    <w:rsid w:val="007D18E3"/>
    <w:rsid w:val="007E0D4C"/>
    <w:rsid w:val="007E0FF7"/>
    <w:rsid w:val="007E105E"/>
    <w:rsid w:val="007E67B1"/>
    <w:rsid w:val="0081593D"/>
    <w:rsid w:val="008162A0"/>
    <w:rsid w:val="008228C8"/>
    <w:rsid w:val="00824622"/>
    <w:rsid w:val="0082577D"/>
    <w:rsid w:val="0082642B"/>
    <w:rsid w:val="00832773"/>
    <w:rsid w:val="00854533"/>
    <w:rsid w:val="00856026"/>
    <w:rsid w:val="00856DDE"/>
    <w:rsid w:val="00862F9C"/>
    <w:rsid w:val="008641E1"/>
    <w:rsid w:val="00870089"/>
    <w:rsid w:val="008766D3"/>
    <w:rsid w:val="00880247"/>
    <w:rsid w:val="00882082"/>
    <w:rsid w:val="008A7DE7"/>
    <w:rsid w:val="008C0CCF"/>
    <w:rsid w:val="008D12DC"/>
    <w:rsid w:val="008D4410"/>
    <w:rsid w:val="008E489F"/>
    <w:rsid w:val="008E4D58"/>
    <w:rsid w:val="008E6B5A"/>
    <w:rsid w:val="008F1947"/>
    <w:rsid w:val="008F6EFA"/>
    <w:rsid w:val="008F75B3"/>
    <w:rsid w:val="0090670A"/>
    <w:rsid w:val="00916BD0"/>
    <w:rsid w:val="00932778"/>
    <w:rsid w:val="0094495B"/>
    <w:rsid w:val="00954445"/>
    <w:rsid w:val="00973029"/>
    <w:rsid w:val="0098637D"/>
    <w:rsid w:val="009A16FA"/>
    <w:rsid w:val="009B13DB"/>
    <w:rsid w:val="009B1E8E"/>
    <w:rsid w:val="009B21AE"/>
    <w:rsid w:val="009C4A15"/>
    <w:rsid w:val="009D39AA"/>
    <w:rsid w:val="009D6600"/>
    <w:rsid w:val="009D7B1E"/>
    <w:rsid w:val="009E0CE1"/>
    <w:rsid w:val="009E73BC"/>
    <w:rsid w:val="009F1FC8"/>
    <w:rsid w:val="009F5AE2"/>
    <w:rsid w:val="009F6C71"/>
    <w:rsid w:val="00A046DA"/>
    <w:rsid w:val="00A05028"/>
    <w:rsid w:val="00A07862"/>
    <w:rsid w:val="00A10CFC"/>
    <w:rsid w:val="00A11C80"/>
    <w:rsid w:val="00A13422"/>
    <w:rsid w:val="00A34177"/>
    <w:rsid w:val="00A469CD"/>
    <w:rsid w:val="00A5546C"/>
    <w:rsid w:val="00A579D5"/>
    <w:rsid w:val="00A65973"/>
    <w:rsid w:val="00A766F7"/>
    <w:rsid w:val="00A87768"/>
    <w:rsid w:val="00AA3233"/>
    <w:rsid w:val="00AA58C6"/>
    <w:rsid w:val="00AA5CE2"/>
    <w:rsid w:val="00AC0491"/>
    <w:rsid w:val="00AD38C5"/>
    <w:rsid w:val="00AE6EBE"/>
    <w:rsid w:val="00AF13EE"/>
    <w:rsid w:val="00B015C7"/>
    <w:rsid w:val="00B05C6F"/>
    <w:rsid w:val="00B11E3B"/>
    <w:rsid w:val="00B26F7C"/>
    <w:rsid w:val="00B27C33"/>
    <w:rsid w:val="00B5270F"/>
    <w:rsid w:val="00B52CDB"/>
    <w:rsid w:val="00B62B3F"/>
    <w:rsid w:val="00B741F3"/>
    <w:rsid w:val="00B75528"/>
    <w:rsid w:val="00B77C2A"/>
    <w:rsid w:val="00B83548"/>
    <w:rsid w:val="00B9061A"/>
    <w:rsid w:val="00B92B29"/>
    <w:rsid w:val="00B96838"/>
    <w:rsid w:val="00BB211E"/>
    <w:rsid w:val="00BB4B27"/>
    <w:rsid w:val="00BC5774"/>
    <w:rsid w:val="00BC687B"/>
    <w:rsid w:val="00BF7C93"/>
    <w:rsid w:val="00C15EC4"/>
    <w:rsid w:val="00C21FD4"/>
    <w:rsid w:val="00C229EA"/>
    <w:rsid w:val="00C2497B"/>
    <w:rsid w:val="00C32787"/>
    <w:rsid w:val="00C37DFD"/>
    <w:rsid w:val="00C4398C"/>
    <w:rsid w:val="00C44D81"/>
    <w:rsid w:val="00C46AC6"/>
    <w:rsid w:val="00C52C8A"/>
    <w:rsid w:val="00C54A66"/>
    <w:rsid w:val="00C72D16"/>
    <w:rsid w:val="00C764D6"/>
    <w:rsid w:val="00C829CC"/>
    <w:rsid w:val="00C8785B"/>
    <w:rsid w:val="00C87C57"/>
    <w:rsid w:val="00CA5227"/>
    <w:rsid w:val="00CA73E4"/>
    <w:rsid w:val="00CB01A7"/>
    <w:rsid w:val="00CB24DB"/>
    <w:rsid w:val="00CB432D"/>
    <w:rsid w:val="00CB5B07"/>
    <w:rsid w:val="00CC0776"/>
    <w:rsid w:val="00CC3546"/>
    <w:rsid w:val="00CC3A49"/>
    <w:rsid w:val="00CC3E31"/>
    <w:rsid w:val="00CD12BF"/>
    <w:rsid w:val="00CD4A5A"/>
    <w:rsid w:val="00CF7C1A"/>
    <w:rsid w:val="00D1753F"/>
    <w:rsid w:val="00D17556"/>
    <w:rsid w:val="00D247CA"/>
    <w:rsid w:val="00D36E1F"/>
    <w:rsid w:val="00D4268A"/>
    <w:rsid w:val="00D516F0"/>
    <w:rsid w:val="00D54907"/>
    <w:rsid w:val="00D55B4F"/>
    <w:rsid w:val="00D631D6"/>
    <w:rsid w:val="00D66838"/>
    <w:rsid w:val="00D66894"/>
    <w:rsid w:val="00D71F30"/>
    <w:rsid w:val="00D733E4"/>
    <w:rsid w:val="00DA299F"/>
    <w:rsid w:val="00DA6008"/>
    <w:rsid w:val="00DB0B99"/>
    <w:rsid w:val="00DB1717"/>
    <w:rsid w:val="00DB5D52"/>
    <w:rsid w:val="00DD1A1F"/>
    <w:rsid w:val="00DD47C0"/>
    <w:rsid w:val="00DD5953"/>
    <w:rsid w:val="00DE598C"/>
    <w:rsid w:val="00E03088"/>
    <w:rsid w:val="00E17CCA"/>
    <w:rsid w:val="00E307E5"/>
    <w:rsid w:val="00E418F0"/>
    <w:rsid w:val="00E451E2"/>
    <w:rsid w:val="00E56139"/>
    <w:rsid w:val="00E66A9D"/>
    <w:rsid w:val="00E67C60"/>
    <w:rsid w:val="00E71833"/>
    <w:rsid w:val="00E73E56"/>
    <w:rsid w:val="00E8130F"/>
    <w:rsid w:val="00E8558D"/>
    <w:rsid w:val="00E86C79"/>
    <w:rsid w:val="00EA341F"/>
    <w:rsid w:val="00EA371E"/>
    <w:rsid w:val="00EB3466"/>
    <w:rsid w:val="00EB6043"/>
    <w:rsid w:val="00EB7C48"/>
    <w:rsid w:val="00EC2A15"/>
    <w:rsid w:val="00ED2B9A"/>
    <w:rsid w:val="00EE11D5"/>
    <w:rsid w:val="00EE742C"/>
    <w:rsid w:val="00EF4C48"/>
    <w:rsid w:val="00EF6919"/>
    <w:rsid w:val="00EF71D1"/>
    <w:rsid w:val="00F16D84"/>
    <w:rsid w:val="00F27613"/>
    <w:rsid w:val="00F30786"/>
    <w:rsid w:val="00F3485D"/>
    <w:rsid w:val="00F364CF"/>
    <w:rsid w:val="00F37CC0"/>
    <w:rsid w:val="00F46485"/>
    <w:rsid w:val="00F47BFC"/>
    <w:rsid w:val="00F503CE"/>
    <w:rsid w:val="00F50758"/>
    <w:rsid w:val="00F6060D"/>
    <w:rsid w:val="00F62B99"/>
    <w:rsid w:val="00F70078"/>
    <w:rsid w:val="00F72920"/>
    <w:rsid w:val="00F729FF"/>
    <w:rsid w:val="00F80393"/>
    <w:rsid w:val="00F83E0D"/>
    <w:rsid w:val="00F84A19"/>
    <w:rsid w:val="00F90E34"/>
    <w:rsid w:val="00F92D7F"/>
    <w:rsid w:val="00F9330F"/>
    <w:rsid w:val="00F93FE0"/>
    <w:rsid w:val="00FA152E"/>
    <w:rsid w:val="00FA27CD"/>
    <w:rsid w:val="00FA7EE6"/>
    <w:rsid w:val="00FC6C23"/>
    <w:rsid w:val="00FD019A"/>
    <w:rsid w:val="00FD1C56"/>
    <w:rsid w:val="00FD2628"/>
    <w:rsid w:val="00FE2B1F"/>
    <w:rsid w:val="00FE342E"/>
    <w:rsid w:val="00FE477C"/>
    <w:rsid w:val="00FF1834"/>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D7FF"/>
  <w15:chartTrackingRefBased/>
  <w15:docId w15:val="{CEFC1AD7-78EC-4B06-B64A-7FD55345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A2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den">
    <w:name w:val="s_den"/>
    <w:basedOn w:val="DefaultParagraphFont"/>
    <w:rsid w:val="002A2D18"/>
  </w:style>
  <w:style w:type="character" w:customStyle="1" w:styleId="shdr">
    <w:name w:val="s_hdr"/>
    <w:basedOn w:val="DefaultParagraphFont"/>
    <w:rsid w:val="002A2D18"/>
  </w:style>
  <w:style w:type="character" w:customStyle="1" w:styleId="semtttl">
    <w:name w:val="s_emt_ttl"/>
    <w:basedOn w:val="DefaultParagraphFont"/>
    <w:rsid w:val="002A2D18"/>
  </w:style>
  <w:style w:type="character" w:customStyle="1" w:styleId="semtbdy">
    <w:name w:val="s_emt_bdy"/>
    <w:basedOn w:val="DefaultParagraphFont"/>
    <w:rsid w:val="002A2D18"/>
  </w:style>
  <w:style w:type="character" w:customStyle="1" w:styleId="spub">
    <w:name w:val="s_pub"/>
    <w:basedOn w:val="DefaultParagraphFont"/>
    <w:rsid w:val="002A2D18"/>
  </w:style>
  <w:style w:type="character" w:customStyle="1" w:styleId="spubttl">
    <w:name w:val="s_pub_ttl"/>
    <w:basedOn w:val="DefaultParagraphFont"/>
    <w:rsid w:val="002A2D18"/>
  </w:style>
  <w:style w:type="character" w:customStyle="1" w:styleId="spubbdy">
    <w:name w:val="s_pub_bdy"/>
    <w:basedOn w:val="DefaultParagraphFont"/>
    <w:rsid w:val="002A2D18"/>
  </w:style>
  <w:style w:type="character" w:customStyle="1" w:styleId="snta">
    <w:name w:val="s_nta"/>
    <w:basedOn w:val="DefaultParagraphFont"/>
    <w:rsid w:val="002A2D18"/>
  </w:style>
  <w:style w:type="character" w:customStyle="1" w:styleId="sntattl">
    <w:name w:val="s_nta_ttl"/>
    <w:basedOn w:val="DefaultParagraphFont"/>
    <w:rsid w:val="002A2D18"/>
  </w:style>
  <w:style w:type="character" w:customStyle="1" w:styleId="sntapar">
    <w:name w:val="s_nta_par"/>
    <w:basedOn w:val="DefaultParagraphFont"/>
    <w:rsid w:val="002A2D18"/>
  </w:style>
  <w:style w:type="character" w:styleId="Hyperlink">
    <w:name w:val="Hyperlink"/>
    <w:basedOn w:val="DefaultParagraphFont"/>
    <w:uiPriority w:val="99"/>
    <w:unhideWhenUsed/>
    <w:rsid w:val="002A2D18"/>
    <w:rPr>
      <w:color w:val="0000FF"/>
      <w:u w:val="single"/>
    </w:rPr>
  </w:style>
  <w:style w:type="character" w:styleId="FollowedHyperlink">
    <w:name w:val="FollowedHyperlink"/>
    <w:basedOn w:val="DefaultParagraphFont"/>
    <w:uiPriority w:val="99"/>
    <w:semiHidden/>
    <w:unhideWhenUsed/>
    <w:rsid w:val="002A2D18"/>
    <w:rPr>
      <w:color w:val="800080"/>
      <w:u w:val="single"/>
    </w:rPr>
  </w:style>
  <w:style w:type="character" w:customStyle="1" w:styleId="spar">
    <w:name w:val="s_par"/>
    <w:basedOn w:val="DefaultParagraphFont"/>
    <w:rsid w:val="002A2D18"/>
  </w:style>
  <w:style w:type="character" w:customStyle="1" w:styleId="sart">
    <w:name w:val="s_art"/>
    <w:basedOn w:val="DefaultParagraphFont"/>
    <w:rsid w:val="002A2D18"/>
  </w:style>
  <w:style w:type="character" w:customStyle="1" w:styleId="sartttl">
    <w:name w:val="s_art_ttl"/>
    <w:basedOn w:val="DefaultParagraphFont"/>
    <w:rsid w:val="002A2D18"/>
  </w:style>
  <w:style w:type="character" w:customStyle="1" w:styleId="sartden">
    <w:name w:val="s_art_den"/>
    <w:basedOn w:val="DefaultParagraphFont"/>
    <w:rsid w:val="002A2D18"/>
  </w:style>
  <w:style w:type="character" w:customStyle="1" w:styleId="sartbdy">
    <w:name w:val="s_art_bdy"/>
    <w:basedOn w:val="DefaultParagraphFont"/>
    <w:rsid w:val="002A2D18"/>
  </w:style>
  <w:style w:type="character" w:customStyle="1" w:styleId="saln">
    <w:name w:val="s_aln"/>
    <w:basedOn w:val="DefaultParagraphFont"/>
    <w:rsid w:val="002A2D18"/>
  </w:style>
  <w:style w:type="character" w:customStyle="1" w:styleId="salnttl">
    <w:name w:val="s_aln_ttl"/>
    <w:basedOn w:val="DefaultParagraphFont"/>
    <w:rsid w:val="002A2D18"/>
  </w:style>
  <w:style w:type="character" w:customStyle="1" w:styleId="salnbdy">
    <w:name w:val="s_aln_bdy"/>
    <w:basedOn w:val="DefaultParagraphFont"/>
    <w:rsid w:val="002A2D18"/>
  </w:style>
  <w:style w:type="character" w:customStyle="1" w:styleId="slgi">
    <w:name w:val="s_lgi"/>
    <w:basedOn w:val="DefaultParagraphFont"/>
    <w:rsid w:val="002A2D18"/>
  </w:style>
  <w:style w:type="character" w:customStyle="1" w:styleId="slit">
    <w:name w:val="s_lit"/>
    <w:basedOn w:val="DefaultParagraphFont"/>
    <w:rsid w:val="002A2D18"/>
  </w:style>
  <w:style w:type="character" w:customStyle="1" w:styleId="slitttl">
    <w:name w:val="s_lit_ttl"/>
    <w:basedOn w:val="DefaultParagraphFont"/>
    <w:rsid w:val="002A2D18"/>
  </w:style>
  <w:style w:type="character" w:customStyle="1" w:styleId="slitbdy">
    <w:name w:val="s_lit_bdy"/>
    <w:basedOn w:val="DefaultParagraphFont"/>
    <w:rsid w:val="002A2D18"/>
  </w:style>
  <w:style w:type="character" w:customStyle="1" w:styleId="spct">
    <w:name w:val="s_pct"/>
    <w:basedOn w:val="DefaultParagraphFont"/>
    <w:rsid w:val="002A2D18"/>
  </w:style>
  <w:style w:type="character" w:customStyle="1" w:styleId="spctttl">
    <w:name w:val="s_pct_ttl"/>
    <w:basedOn w:val="DefaultParagraphFont"/>
    <w:rsid w:val="002A2D18"/>
  </w:style>
  <w:style w:type="character" w:customStyle="1" w:styleId="spctbdy">
    <w:name w:val="s_pct_bdy"/>
    <w:basedOn w:val="DefaultParagraphFont"/>
    <w:rsid w:val="002A2D18"/>
  </w:style>
  <w:style w:type="character" w:customStyle="1" w:styleId="scit">
    <w:name w:val="s_cit"/>
    <w:basedOn w:val="DefaultParagraphFont"/>
    <w:rsid w:val="002A2D18"/>
  </w:style>
  <w:style w:type="character" w:customStyle="1" w:styleId="scap">
    <w:name w:val="s_cap"/>
    <w:basedOn w:val="DefaultParagraphFont"/>
    <w:rsid w:val="002A2D18"/>
  </w:style>
  <w:style w:type="character" w:customStyle="1" w:styleId="scapttl">
    <w:name w:val="s_cap_ttl"/>
    <w:basedOn w:val="DefaultParagraphFont"/>
    <w:rsid w:val="002A2D18"/>
  </w:style>
  <w:style w:type="character" w:customStyle="1" w:styleId="scapden">
    <w:name w:val="s_cap_den"/>
    <w:basedOn w:val="DefaultParagraphFont"/>
    <w:rsid w:val="002A2D18"/>
  </w:style>
  <w:style w:type="character" w:customStyle="1" w:styleId="scapbdy">
    <w:name w:val="s_cap_bdy"/>
    <w:basedOn w:val="DefaultParagraphFont"/>
    <w:rsid w:val="002A2D18"/>
  </w:style>
  <w:style w:type="character" w:customStyle="1" w:styleId="ssmn">
    <w:name w:val="s_smn"/>
    <w:basedOn w:val="DefaultParagraphFont"/>
    <w:rsid w:val="002A2D18"/>
  </w:style>
  <w:style w:type="character" w:customStyle="1" w:styleId="ssmnpar">
    <w:name w:val="s_smn_par"/>
    <w:basedOn w:val="DefaultParagraphFont"/>
    <w:rsid w:val="002A2D18"/>
  </w:style>
  <w:style w:type="character" w:customStyle="1" w:styleId="sanxttl">
    <w:name w:val="s_anx_ttl"/>
    <w:basedOn w:val="DefaultParagraphFont"/>
    <w:rsid w:val="002A2D18"/>
  </w:style>
  <w:style w:type="character" w:customStyle="1" w:styleId="apar">
    <w:name w:val="a_par"/>
    <w:basedOn w:val="DefaultParagraphFont"/>
    <w:rsid w:val="002A2D18"/>
  </w:style>
  <w:style w:type="paragraph" w:styleId="ListParagraph">
    <w:name w:val="List Paragraph"/>
    <w:basedOn w:val="Normal"/>
    <w:uiPriority w:val="34"/>
    <w:qFormat/>
    <w:rsid w:val="00EE742C"/>
    <w:pPr>
      <w:ind w:left="720"/>
      <w:contextualSpacing/>
    </w:pPr>
  </w:style>
  <w:style w:type="paragraph" w:styleId="Revision">
    <w:name w:val="Revision"/>
    <w:hidden/>
    <w:uiPriority w:val="99"/>
    <w:semiHidden/>
    <w:rsid w:val="004C2909"/>
    <w:pPr>
      <w:spacing w:after="0" w:line="240" w:lineRule="auto"/>
    </w:pPr>
  </w:style>
  <w:style w:type="paragraph" w:styleId="NormalWeb">
    <w:name w:val="Normal (Web)"/>
    <w:basedOn w:val="Normal"/>
    <w:uiPriority w:val="99"/>
    <w:unhideWhenUsed/>
    <w:rsid w:val="00CB5B07"/>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customStyle="1" w:styleId="do1">
    <w:name w:val="do1"/>
    <w:rsid w:val="00CB5B07"/>
    <w:rPr>
      <w:b/>
      <w:bCs/>
      <w:sz w:val="26"/>
      <w:szCs w:val="26"/>
    </w:rPr>
  </w:style>
  <w:style w:type="character" w:styleId="CommentReference">
    <w:name w:val="annotation reference"/>
    <w:basedOn w:val="DefaultParagraphFont"/>
    <w:uiPriority w:val="99"/>
    <w:semiHidden/>
    <w:unhideWhenUsed/>
    <w:rsid w:val="00612EAC"/>
    <w:rPr>
      <w:sz w:val="16"/>
      <w:szCs w:val="16"/>
    </w:rPr>
  </w:style>
  <w:style w:type="paragraph" w:styleId="CommentText">
    <w:name w:val="annotation text"/>
    <w:basedOn w:val="Normal"/>
    <w:link w:val="CommentTextChar"/>
    <w:uiPriority w:val="99"/>
    <w:unhideWhenUsed/>
    <w:rsid w:val="00612EAC"/>
    <w:pPr>
      <w:spacing w:line="240" w:lineRule="auto"/>
    </w:pPr>
    <w:rPr>
      <w:sz w:val="20"/>
      <w:szCs w:val="20"/>
    </w:rPr>
  </w:style>
  <w:style w:type="character" w:customStyle="1" w:styleId="CommentTextChar">
    <w:name w:val="Comment Text Char"/>
    <w:basedOn w:val="DefaultParagraphFont"/>
    <w:link w:val="CommentText"/>
    <w:uiPriority w:val="99"/>
    <w:rsid w:val="00612EAC"/>
    <w:rPr>
      <w:sz w:val="20"/>
      <w:szCs w:val="20"/>
    </w:rPr>
  </w:style>
  <w:style w:type="paragraph" w:styleId="CommentSubject">
    <w:name w:val="annotation subject"/>
    <w:basedOn w:val="CommentText"/>
    <w:next w:val="CommentText"/>
    <w:link w:val="CommentSubjectChar"/>
    <w:uiPriority w:val="99"/>
    <w:semiHidden/>
    <w:unhideWhenUsed/>
    <w:rsid w:val="00612EAC"/>
    <w:rPr>
      <w:b/>
      <w:bCs/>
    </w:rPr>
  </w:style>
  <w:style w:type="character" w:customStyle="1" w:styleId="CommentSubjectChar">
    <w:name w:val="Comment Subject Char"/>
    <w:basedOn w:val="CommentTextChar"/>
    <w:link w:val="CommentSubject"/>
    <w:uiPriority w:val="99"/>
    <w:semiHidden/>
    <w:rsid w:val="00612EAC"/>
    <w:rPr>
      <w:b/>
      <w:bCs/>
      <w:sz w:val="20"/>
      <w:szCs w:val="20"/>
    </w:rPr>
  </w:style>
  <w:style w:type="paragraph" w:styleId="BalloonText">
    <w:name w:val="Balloon Text"/>
    <w:basedOn w:val="Normal"/>
    <w:link w:val="BalloonTextChar"/>
    <w:uiPriority w:val="99"/>
    <w:semiHidden/>
    <w:unhideWhenUsed/>
    <w:rsid w:val="00DB5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D52"/>
    <w:rPr>
      <w:rFonts w:ascii="Segoe UI" w:hAnsi="Segoe UI" w:cs="Segoe UI"/>
      <w:sz w:val="18"/>
      <w:szCs w:val="18"/>
    </w:rPr>
  </w:style>
  <w:style w:type="paragraph" w:customStyle="1" w:styleId="Default">
    <w:name w:val="Default"/>
    <w:qFormat/>
    <w:rsid w:val="009F5AE2"/>
    <w:pPr>
      <w:autoSpaceDE w:val="0"/>
      <w:autoSpaceDN w:val="0"/>
      <w:adjustRightInd w:val="0"/>
      <w:spacing w:after="0" w:line="240" w:lineRule="auto"/>
    </w:pPr>
    <w:rPr>
      <w:rFonts w:ascii="EUAlbertina" w:eastAsia="Calibri" w:hAnsi="EUAlbertina" w:cs="EUAlbertina"/>
      <w:color w:val="000000"/>
      <w:kern w:val="0"/>
      <w:sz w:val="24"/>
      <w:szCs w:val="24"/>
      <w:lang w:val="ro-RO"/>
      <w14:ligatures w14:val="none"/>
    </w:rPr>
  </w:style>
  <w:style w:type="character" w:customStyle="1" w:styleId="UnresolvedMention1">
    <w:name w:val="Unresolved Mention1"/>
    <w:basedOn w:val="DefaultParagraphFont"/>
    <w:uiPriority w:val="99"/>
    <w:semiHidden/>
    <w:unhideWhenUsed/>
    <w:rsid w:val="000D34C7"/>
    <w:rPr>
      <w:color w:val="605E5C"/>
      <w:shd w:val="clear" w:color="auto" w:fill="E1DFDD"/>
    </w:rPr>
  </w:style>
  <w:style w:type="paragraph" w:styleId="Header">
    <w:name w:val="header"/>
    <w:basedOn w:val="Normal"/>
    <w:link w:val="HeaderChar"/>
    <w:uiPriority w:val="99"/>
    <w:unhideWhenUsed/>
    <w:rsid w:val="006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EE"/>
  </w:style>
  <w:style w:type="paragraph" w:styleId="Footer">
    <w:name w:val="footer"/>
    <w:basedOn w:val="Normal"/>
    <w:link w:val="FooterChar"/>
    <w:uiPriority w:val="99"/>
    <w:unhideWhenUsed/>
    <w:rsid w:val="006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2655">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72183203">
      <w:bodyDiv w:val="1"/>
      <w:marLeft w:val="0"/>
      <w:marRight w:val="0"/>
      <w:marTop w:val="0"/>
      <w:marBottom w:val="0"/>
      <w:divBdr>
        <w:top w:val="none" w:sz="0" w:space="0" w:color="auto"/>
        <w:left w:val="none" w:sz="0" w:space="0" w:color="auto"/>
        <w:bottom w:val="none" w:sz="0" w:space="0" w:color="auto"/>
        <w:right w:val="none" w:sz="0" w:space="0" w:color="auto"/>
      </w:divBdr>
    </w:div>
    <w:div w:id="1225261140">
      <w:bodyDiv w:val="1"/>
      <w:marLeft w:val="0"/>
      <w:marRight w:val="0"/>
      <w:marTop w:val="0"/>
      <w:marBottom w:val="0"/>
      <w:divBdr>
        <w:top w:val="none" w:sz="0" w:space="0" w:color="auto"/>
        <w:left w:val="none" w:sz="0" w:space="0" w:color="auto"/>
        <w:bottom w:val="none" w:sz="0" w:space="0" w:color="auto"/>
        <w:right w:val="none" w:sz="0" w:space="0" w:color="auto"/>
      </w:divBdr>
    </w:div>
    <w:div w:id="1242521355">
      <w:bodyDiv w:val="1"/>
      <w:marLeft w:val="0"/>
      <w:marRight w:val="0"/>
      <w:marTop w:val="0"/>
      <w:marBottom w:val="0"/>
      <w:divBdr>
        <w:top w:val="none" w:sz="0" w:space="0" w:color="auto"/>
        <w:left w:val="none" w:sz="0" w:space="0" w:color="auto"/>
        <w:bottom w:val="none" w:sz="0" w:space="0" w:color="auto"/>
        <w:right w:val="none" w:sz="0" w:space="0" w:color="auto"/>
      </w:divBdr>
    </w:div>
    <w:div w:id="20039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e.just.ro/Public/DetaliiDocumentAfis/268788" TargetMode="External"/><Relationship Id="rId18" Type="http://schemas.openxmlformats.org/officeDocument/2006/relationships/hyperlink" Target="https://legislatie.just.ro/Public/DetaliiDocumentAfis/2979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slatie.just.ro/Public/DetaliiDocumentAfis/269485" TargetMode="External"/><Relationship Id="rId17" Type="http://schemas.openxmlformats.org/officeDocument/2006/relationships/hyperlink" Target="https://legislatie.just.ro/Public/DetaliiDocumentAfis/297187" TargetMode="External"/><Relationship Id="rId2" Type="http://schemas.openxmlformats.org/officeDocument/2006/relationships/numbering" Target="numbering.xml"/><Relationship Id="rId16" Type="http://schemas.openxmlformats.org/officeDocument/2006/relationships/hyperlink" Target="https://legislatie.just.ro/Public/DetaliiDocumentAfis/2694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8788"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8788" TargetMode="External"/><Relationship Id="rId10" Type="http://schemas.openxmlformats.org/officeDocument/2006/relationships/hyperlink" Target="https://legislatie.just.ro/Public/DetaliiDocumentAfis/26948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tie.just.ro/Public/DetaliiDocumentAfis/268788" TargetMode="External"/><Relationship Id="rId14" Type="http://schemas.openxmlformats.org/officeDocument/2006/relationships/hyperlink" Target="https://legislatie.just.ro/Public/DetaliiDocumentAfis/269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9115-4ED9-4A35-97BD-2C5CEBEC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3458</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Petre</dc:creator>
  <cp:keywords/>
  <dc:description/>
  <cp:lastModifiedBy>Gratiela Savulescu</cp:lastModifiedBy>
  <cp:revision>2</cp:revision>
  <cp:lastPrinted>2025-08-13T06:47:00Z</cp:lastPrinted>
  <dcterms:created xsi:type="dcterms:W3CDTF">2025-08-13T16:13:00Z</dcterms:created>
  <dcterms:modified xsi:type="dcterms:W3CDTF">2025-08-13T16:13:00Z</dcterms:modified>
</cp:coreProperties>
</file>